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7D03A">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广水市应急管理局</w:t>
      </w:r>
    </w:p>
    <w:p w14:paraId="18AEC5A7">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包容审慎监管执法</w:t>
      </w:r>
      <w:r>
        <w:rPr>
          <w:rFonts w:hint="eastAsia" w:ascii="方正小标宋简体" w:hAnsi="方正小标宋简体" w:eastAsia="方正小标宋简体" w:cs="方正小标宋简体"/>
          <w:sz w:val="44"/>
          <w:szCs w:val="44"/>
        </w:rPr>
        <w:t>“四张清单”</w:t>
      </w:r>
    </w:p>
    <w:p w14:paraId="20E78814">
      <w:pPr>
        <w:jc w:val="center"/>
        <w:rPr>
          <w:rFonts w:ascii="黑体" w:hAnsi="黑体" w:eastAsia="黑体"/>
          <w:sz w:val="44"/>
          <w:szCs w:val="44"/>
        </w:rPr>
      </w:pPr>
    </w:p>
    <w:p w14:paraId="0FFDB1D3">
      <w:pPr>
        <w:spacing w:line="460" w:lineRule="exact"/>
        <w:ind w:firstLine="640" w:firstLineChars="200"/>
        <w:jc w:val="left"/>
        <w:rPr>
          <w:rFonts w:ascii="仿宋_GB2312" w:hAnsi="微软雅黑" w:eastAsia="仿宋_GB2312"/>
          <w:sz w:val="32"/>
          <w:szCs w:val="32"/>
          <w:shd w:val="clear" w:color="auto" w:fill="FFFFFF"/>
        </w:rPr>
      </w:pPr>
      <w:r>
        <w:rPr>
          <w:rFonts w:ascii="仿宋_GB2312" w:eastAsia="仿宋_GB2312"/>
          <w:sz w:val="32"/>
          <w:szCs w:val="32"/>
        </w:rPr>
        <w:t>为</w:t>
      </w:r>
      <w:r>
        <w:rPr>
          <w:rFonts w:hint="eastAsia" w:ascii="仿宋_GB2312" w:eastAsia="仿宋_GB2312"/>
          <w:sz w:val="32"/>
          <w:szCs w:val="32"/>
        </w:rPr>
        <w:t>深入贯彻落实</w:t>
      </w:r>
      <w:r>
        <w:rPr>
          <w:rFonts w:ascii="仿宋_GB2312" w:eastAsia="仿宋_GB2312"/>
          <w:sz w:val="32"/>
          <w:szCs w:val="32"/>
        </w:rPr>
        <w:t>《优化营商环境条例》</w:t>
      </w:r>
      <w:r>
        <w:rPr>
          <w:rFonts w:hint="eastAsia" w:ascii="仿宋_GB2312" w:eastAsia="仿宋_GB2312"/>
          <w:sz w:val="32"/>
          <w:szCs w:val="32"/>
        </w:rPr>
        <w:t>、《湖北省优化营商环境办法》，</w:t>
      </w:r>
      <w:r>
        <w:rPr>
          <w:rFonts w:ascii="仿宋_GB2312" w:eastAsia="仿宋_GB2312"/>
          <w:sz w:val="32"/>
          <w:szCs w:val="32"/>
        </w:rPr>
        <w:t>进一步规范涉企行政执法行为，根据《中华人民共和国行政许可法》</w:t>
      </w:r>
      <w:r>
        <w:rPr>
          <w:rFonts w:hint="eastAsia" w:ascii="仿宋_GB2312" w:eastAsia="仿宋_GB2312"/>
          <w:sz w:val="32"/>
          <w:szCs w:val="32"/>
        </w:rPr>
        <w:t>、</w:t>
      </w:r>
      <w:r>
        <w:rPr>
          <w:rFonts w:ascii="仿宋_GB2312" w:eastAsia="仿宋_GB2312"/>
          <w:sz w:val="32"/>
          <w:szCs w:val="32"/>
        </w:rPr>
        <w:t>《中华人民共和国行政处罚法》</w:t>
      </w:r>
      <w:r>
        <w:rPr>
          <w:rFonts w:hint="eastAsia" w:ascii="仿宋_GB2312" w:eastAsia="仿宋_GB2312"/>
          <w:sz w:val="32"/>
          <w:szCs w:val="32"/>
        </w:rPr>
        <w:t>、</w:t>
      </w:r>
      <w:r>
        <w:rPr>
          <w:rFonts w:ascii="仿宋_GB2312" w:eastAsia="仿宋_GB2312"/>
          <w:sz w:val="32"/>
          <w:szCs w:val="32"/>
        </w:rPr>
        <w:t>《中华人民共和国行政强制法》</w:t>
      </w:r>
      <w:r>
        <w:rPr>
          <w:rFonts w:hint="eastAsia" w:ascii="仿宋_GB2312" w:eastAsia="仿宋_GB2312"/>
          <w:sz w:val="32"/>
          <w:szCs w:val="32"/>
        </w:rPr>
        <w:t>、</w:t>
      </w:r>
      <w:r>
        <w:rPr>
          <w:rFonts w:ascii="仿宋_GB2312" w:eastAsia="仿宋_GB2312"/>
          <w:sz w:val="32"/>
          <w:szCs w:val="32"/>
        </w:rPr>
        <w:t>和</w:t>
      </w:r>
      <w:r>
        <w:rPr>
          <w:rFonts w:hint="eastAsia" w:ascii="仿宋_GB2312" w:eastAsia="仿宋_GB2312"/>
          <w:sz w:val="32"/>
          <w:szCs w:val="32"/>
        </w:rPr>
        <w:t>《市人民政府办公室关于印发广水市探索推行“涉企行政执法案件经济影响评估制度”实施方案的通知》（广</w:t>
      </w:r>
      <w:r>
        <w:rPr>
          <w:rFonts w:ascii="仿宋_GB2312" w:eastAsia="仿宋_GB2312"/>
          <w:sz w:val="32"/>
          <w:szCs w:val="32"/>
        </w:rPr>
        <w:t>政办</w:t>
      </w:r>
      <w:r>
        <w:rPr>
          <w:rFonts w:hint="eastAsia" w:ascii="仿宋_GB2312" w:eastAsia="仿宋_GB2312"/>
          <w:sz w:val="32"/>
          <w:szCs w:val="32"/>
        </w:rPr>
        <w:t>函</w:t>
      </w:r>
      <w:r>
        <w:rPr>
          <w:rFonts w:ascii="仿宋_GB2312" w:eastAsia="仿宋_GB2312"/>
          <w:sz w:val="32"/>
          <w:szCs w:val="32"/>
        </w:rPr>
        <w:t>〔2022〕</w:t>
      </w:r>
      <w:r>
        <w:rPr>
          <w:rFonts w:hint="eastAsia" w:ascii="仿宋_GB2312" w:eastAsia="仿宋_GB2312"/>
          <w:sz w:val="32"/>
          <w:szCs w:val="32"/>
        </w:rPr>
        <w:t>13</w:t>
      </w:r>
      <w:r>
        <w:rPr>
          <w:rFonts w:ascii="仿宋_GB2312" w:eastAsia="仿宋_GB2312"/>
          <w:sz w:val="32"/>
          <w:szCs w:val="32"/>
        </w:rPr>
        <w:t>号</w:t>
      </w:r>
      <w:r>
        <w:rPr>
          <w:rFonts w:hint="eastAsia" w:ascii="仿宋_GB2312" w:eastAsia="仿宋_GB2312"/>
          <w:sz w:val="32"/>
          <w:szCs w:val="32"/>
        </w:rPr>
        <w:t>）、</w:t>
      </w:r>
      <w:r>
        <w:rPr>
          <w:rFonts w:hint="eastAsia" w:ascii="仿宋_GB2312" w:hAnsi="微软雅黑" w:eastAsia="仿宋_GB2312"/>
          <w:sz w:val="32"/>
          <w:szCs w:val="32"/>
          <w:shd w:val="clear" w:color="auto" w:fill="FFFFFF"/>
        </w:rPr>
        <w:t>湖北省应急管理厅《湖北省安全生产领域轻微违法行为免于行政处罚清单》（鄂应急规[2022]1号）</w:t>
      </w:r>
      <w:r>
        <w:rPr>
          <w:rFonts w:ascii="仿宋_GB2312" w:eastAsia="仿宋_GB2312"/>
          <w:sz w:val="32"/>
          <w:szCs w:val="32"/>
        </w:rPr>
        <w:t>等法律法规和文件精神</w:t>
      </w:r>
      <w:r>
        <w:rPr>
          <w:rFonts w:hint="eastAsia" w:ascii="仿宋_GB2312" w:hAnsi="微软雅黑" w:eastAsia="仿宋_GB2312"/>
          <w:sz w:val="32"/>
          <w:szCs w:val="32"/>
          <w:shd w:val="clear" w:color="auto" w:fill="FFFFFF"/>
        </w:rPr>
        <w:t>，现制定我局轻微违法行为免于处罚、从轻、减轻处罚及免强制“四张清单”。</w:t>
      </w:r>
    </w:p>
    <w:p w14:paraId="52C59301">
      <w:pPr>
        <w:spacing w:line="460" w:lineRule="exact"/>
        <w:ind w:firstLine="640" w:firstLineChars="200"/>
        <w:jc w:val="left"/>
        <w:rPr>
          <w:rFonts w:ascii="仿宋_GB2312" w:hAnsi="微软雅黑" w:eastAsia="仿宋_GB2312"/>
          <w:sz w:val="32"/>
          <w:szCs w:val="32"/>
          <w:shd w:val="clear" w:color="auto" w:fill="FFFFFF"/>
        </w:rPr>
      </w:pPr>
    </w:p>
    <w:p w14:paraId="31D14C2F">
      <w:pPr>
        <w:spacing w:line="460" w:lineRule="exact"/>
        <w:ind w:firstLine="640" w:firstLineChars="200"/>
        <w:jc w:val="left"/>
        <w:rPr>
          <w:rFonts w:ascii="仿宋_GB2312" w:hAnsi="微软雅黑" w:eastAsia="仿宋_GB2312"/>
          <w:sz w:val="32"/>
          <w:szCs w:val="32"/>
          <w:shd w:val="clear" w:color="auto" w:fill="FFFFFF"/>
        </w:rPr>
      </w:pPr>
      <w:r>
        <w:rPr>
          <w:rFonts w:hint="eastAsia" w:ascii="仿宋_GB2312" w:hAnsi="微软雅黑" w:eastAsia="仿宋_GB2312"/>
          <w:sz w:val="32"/>
          <w:szCs w:val="32"/>
          <w:shd w:val="clear" w:color="auto" w:fill="FFFFFF"/>
        </w:rPr>
        <w:t>一、轻微违法行为免予行政处罚清单：</w:t>
      </w:r>
    </w:p>
    <w:p w14:paraId="2C980DD7">
      <w:pPr>
        <w:jc w:val="center"/>
        <w:rPr>
          <w:rFonts w:ascii="仿宋_GB2312" w:hAnsi="微软雅黑" w:eastAsia="仿宋_GB2312"/>
          <w:sz w:val="32"/>
          <w:szCs w:val="32"/>
          <w:shd w:val="clear" w:color="auto" w:fill="FFFFFF"/>
        </w:rPr>
      </w:pPr>
    </w:p>
    <w:p w14:paraId="034277B6">
      <w:pPr>
        <w:jc w:val="center"/>
        <w:rPr>
          <w:rFonts w:ascii="黑体" w:hAnsi="黑体" w:eastAsia="黑体"/>
          <w:sz w:val="32"/>
          <w:szCs w:val="32"/>
          <w:shd w:val="clear" w:color="auto" w:fill="FFFFFF"/>
        </w:rPr>
      </w:pPr>
      <w:r>
        <w:rPr>
          <w:rFonts w:hint="eastAsia" w:ascii="黑体" w:hAnsi="黑体" w:eastAsia="黑体"/>
          <w:sz w:val="32"/>
          <w:szCs w:val="32"/>
          <w:shd w:val="clear" w:color="auto" w:fill="FFFFFF"/>
        </w:rPr>
        <w:t>广水市安全生产领域轻微违法行为免予处罚清单</w:t>
      </w:r>
    </w:p>
    <w:tbl>
      <w:tblPr>
        <w:tblStyle w:val="5"/>
        <w:tblW w:w="11312" w:type="dxa"/>
        <w:tblInd w:w="-1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269"/>
        <w:gridCol w:w="2551"/>
        <w:gridCol w:w="5641"/>
      </w:tblGrid>
      <w:tr w14:paraId="1911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51" w:type="dxa"/>
            <w:shd w:val="clear" w:color="000000" w:fill="FFFFFF"/>
            <w:vAlign w:val="center"/>
          </w:tcPr>
          <w:p w14:paraId="526EDE1D">
            <w:pPr>
              <w:widowControl/>
              <w:jc w:val="center"/>
              <w:rPr>
                <w:rFonts w:ascii="黑体" w:hAnsi="黑体" w:eastAsia="黑体" w:cs="宋体"/>
                <w:kern w:val="0"/>
                <w:sz w:val="28"/>
                <w:szCs w:val="28"/>
              </w:rPr>
            </w:pPr>
            <w:r>
              <w:rPr>
                <w:rFonts w:hint="eastAsia" w:ascii="黑体" w:hAnsi="黑体" w:eastAsia="黑体" w:cs="宋体"/>
                <w:kern w:val="0"/>
                <w:sz w:val="28"/>
                <w:szCs w:val="28"/>
              </w:rPr>
              <w:t>序号</w:t>
            </w:r>
          </w:p>
        </w:tc>
        <w:tc>
          <w:tcPr>
            <w:tcW w:w="2269" w:type="dxa"/>
            <w:shd w:val="clear" w:color="000000" w:fill="FFFFFF"/>
            <w:vAlign w:val="center"/>
          </w:tcPr>
          <w:p w14:paraId="1C217111">
            <w:pPr>
              <w:widowControl/>
              <w:jc w:val="center"/>
              <w:rPr>
                <w:rFonts w:ascii="黑体" w:hAnsi="黑体" w:eastAsia="黑体" w:cs="宋体"/>
                <w:kern w:val="0"/>
                <w:sz w:val="28"/>
                <w:szCs w:val="28"/>
              </w:rPr>
            </w:pPr>
            <w:r>
              <w:rPr>
                <w:rFonts w:hint="eastAsia" w:ascii="黑体" w:hAnsi="黑体" w:eastAsia="黑体" w:cs="宋体"/>
                <w:kern w:val="0"/>
                <w:sz w:val="28"/>
                <w:szCs w:val="28"/>
              </w:rPr>
              <w:t>违法行为种类</w:t>
            </w:r>
          </w:p>
        </w:tc>
        <w:tc>
          <w:tcPr>
            <w:tcW w:w="2551" w:type="dxa"/>
            <w:shd w:val="clear" w:color="000000" w:fill="FFFFFF"/>
            <w:vAlign w:val="center"/>
          </w:tcPr>
          <w:p w14:paraId="6D4F068D">
            <w:pPr>
              <w:widowControl/>
              <w:jc w:val="center"/>
              <w:rPr>
                <w:rFonts w:ascii="黑体" w:hAnsi="黑体" w:eastAsia="黑体" w:cs="宋体"/>
                <w:kern w:val="0"/>
                <w:sz w:val="28"/>
                <w:szCs w:val="28"/>
              </w:rPr>
            </w:pPr>
            <w:r>
              <w:rPr>
                <w:rFonts w:hint="eastAsia" w:ascii="黑体" w:hAnsi="黑体" w:eastAsia="黑体" w:cs="宋体"/>
                <w:kern w:val="0"/>
                <w:sz w:val="28"/>
                <w:szCs w:val="28"/>
              </w:rPr>
              <w:t>免予处罚适用条件</w:t>
            </w:r>
          </w:p>
        </w:tc>
        <w:tc>
          <w:tcPr>
            <w:tcW w:w="5641" w:type="dxa"/>
            <w:shd w:val="clear" w:color="000000" w:fill="FFFFFF"/>
            <w:vAlign w:val="center"/>
          </w:tcPr>
          <w:p w14:paraId="76DBF19E">
            <w:pPr>
              <w:widowControl/>
              <w:jc w:val="center"/>
              <w:rPr>
                <w:rFonts w:ascii="黑体" w:hAnsi="黑体" w:eastAsia="黑体" w:cs="宋体"/>
                <w:kern w:val="0"/>
                <w:sz w:val="28"/>
                <w:szCs w:val="28"/>
              </w:rPr>
            </w:pPr>
            <w:r>
              <w:rPr>
                <w:rFonts w:hint="eastAsia" w:ascii="黑体" w:hAnsi="黑体" w:eastAsia="黑体" w:cs="宋体"/>
                <w:kern w:val="0"/>
                <w:sz w:val="28"/>
                <w:szCs w:val="28"/>
              </w:rPr>
              <w:t>相应法律依据</w:t>
            </w:r>
          </w:p>
        </w:tc>
      </w:tr>
      <w:tr w14:paraId="2C15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5" w:hRule="atLeast"/>
        </w:trPr>
        <w:tc>
          <w:tcPr>
            <w:tcW w:w="851" w:type="dxa"/>
            <w:shd w:val="clear" w:color="000000" w:fill="FFFFFF"/>
            <w:vAlign w:val="center"/>
          </w:tcPr>
          <w:p w14:paraId="41E0754C">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2269" w:type="dxa"/>
            <w:shd w:val="clear" w:color="000000" w:fill="FFFFFF"/>
            <w:vAlign w:val="center"/>
          </w:tcPr>
          <w:p w14:paraId="6BF2DCA1">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危险化学品生产企业未提供化学品安全技术说明书，或者未在包装（包括外包装件）上粘贴、拴挂化学品安全标签的。</w:t>
            </w:r>
          </w:p>
        </w:tc>
        <w:tc>
          <w:tcPr>
            <w:tcW w:w="2551" w:type="dxa"/>
            <w:shd w:val="clear" w:color="000000" w:fill="FFFFFF"/>
            <w:vAlign w:val="center"/>
          </w:tcPr>
          <w:p w14:paraId="33C4398D">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危险化学品生产企业自行改正或经责令改正后，及时改正违法行为，没有造成危害后果；危险化学品生产企业属于首次被发现，且危害后果轻微，自行改正或经责令改正后，及时改正违法行为。</w:t>
            </w:r>
          </w:p>
        </w:tc>
        <w:tc>
          <w:tcPr>
            <w:tcW w:w="5641" w:type="dxa"/>
            <w:shd w:val="clear" w:color="000000" w:fill="FFFFFF"/>
            <w:vAlign w:val="center"/>
          </w:tcPr>
          <w:p w14:paraId="3B23FB05">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1.《危险化学品安全管理条例》第七十八条第一款：</w:t>
            </w:r>
            <w:r>
              <w:rPr>
                <w:rFonts w:hint="eastAsia" w:ascii="仿宋_GB2312" w:hAnsi="宋体" w:eastAsia="仿宋_GB2312" w:cs="宋体"/>
                <w:kern w:val="0"/>
                <w:sz w:val="24"/>
                <w:szCs w:val="24"/>
              </w:rPr>
              <w:t>有下列情形之一的，由安全生产监督管理部门责令改正，可以处5万元以下的罚款；拒不改正的，处5万元以上10 万元以下的罚款；情节严重的，责令停产停业整顿:（三）危险化学品生产企业未提供化学品安全技术说明书，或者未在包装（包括外包装件）上粘贴、拴挂化学品安全标签的；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r>
              <w:rPr>
                <w:rFonts w:hint="eastAsia" w:ascii="仿宋_GB2312" w:hAnsi="宋体" w:eastAsia="仿宋_GB2312" w:cs="宋体"/>
                <w:kern w:val="0"/>
                <w:sz w:val="24"/>
                <w:szCs w:val="24"/>
              </w:rPr>
              <w:t>违法行为轻微并及时改正，没有造成危害后果的，不予行政处罚。初次违法且危害后果轻微并及时改正的，可以不予行政处罚（下同，略）。</w:t>
            </w:r>
          </w:p>
        </w:tc>
      </w:tr>
      <w:tr w14:paraId="74371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trPr>
        <w:tc>
          <w:tcPr>
            <w:tcW w:w="851" w:type="dxa"/>
            <w:shd w:val="clear" w:color="000000" w:fill="FFFFFF"/>
            <w:vAlign w:val="center"/>
          </w:tcPr>
          <w:p w14:paraId="48323E7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2269" w:type="dxa"/>
            <w:shd w:val="clear" w:color="000000" w:fill="FFFFFF"/>
            <w:vAlign w:val="center"/>
          </w:tcPr>
          <w:p w14:paraId="36798956">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危险化学品生产企业提供的化学品安全技术说明书与其签与包装内危险化学品不相符，或者在包装（包括外包装件） 粘贴、拴挂的化学品安全标签与包装内危险化学品不相符，或者化学品安全技术说明书、化学品安全标签所载明的内容不符合国家标准要求的。</w:t>
            </w:r>
          </w:p>
        </w:tc>
        <w:tc>
          <w:tcPr>
            <w:tcW w:w="2551" w:type="dxa"/>
            <w:shd w:val="clear" w:color="000000" w:fill="FFFFFF"/>
            <w:vAlign w:val="center"/>
          </w:tcPr>
          <w:p w14:paraId="0CA5CFAA">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危险化学品生产企业自行改正或经责令改正后，及时改正违法行为，没有造成危害后果；危险化学品生产企业属于首次被发现，且危害后果轻微，自行改正或经责令改正后，及时改正违法行为。</w:t>
            </w:r>
          </w:p>
        </w:tc>
        <w:tc>
          <w:tcPr>
            <w:tcW w:w="5641" w:type="dxa"/>
            <w:shd w:val="clear" w:color="000000" w:fill="FFFFFF"/>
            <w:vAlign w:val="center"/>
          </w:tcPr>
          <w:p w14:paraId="46C6BC3C">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1.《危险化学品安全管理条例》第七十八条第一款：</w:t>
            </w:r>
            <w:r>
              <w:rPr>
                <w:rFonts w:hint="eastAsia" w:ascii="仿宋_GB2312" w:hAnsi="宋体" w:eastAsia="仿宋_GB2312" w:cs="宋体"/>
                <w:kern w:val="0"/>
                <w:sz w:val="24"/>
                <w:szCs w:val="24"/>
              </w:rPr>
              <w:t>有下列情形之一的，由安全生产监督管理部门责令改正，可以处5万元以下的罚款；拒不改正的，处5万元以上10 万元以下的罚款；情节严重的，责令停产停业整顿:（四）危险化学品生产企业提供的化学品安全技术说明书与其生产的危险化学品不相符，或者在包装（包括外包装件）粘贴、拴挂的化学品安全标签与包装内危险化学品不相符，或者化学品安全技术说明书、化学品安全标签所载明的内容不符合国家标准要求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27567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3" w:hRule="atLeast"/>
        </w:trPr>
        <w:tc>
          <w:tcPr>
            <w:tcW w:w="851" w:type="dxa"/>
            <w:shd w:val="clear" w:color="000000" w:fill="FFFFFF"/>
            <w:vAlign w:val="center"/>
          </w:tcPr>
          <w:p w14:paraId="744F9A47">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2269" w:type="dxa"/>
            <w:shd w:val="clear" w:color="000000" w:fill="FFFFFF"/>
            <w:vAlign w:val="center"/>
          </w:tcPr>
          <w:p w14:paraId="42C6773D">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危险化学品经营企业经营没有化学品安全技术说明书和化学品安全标签的危险化学品的。</w:t>
            </w:r>
          </w:p>
        </w:tc>
        <w:tc>
          <w:tcPr>
            <w:tcW w:w="2551" w:type="dxa"/>
            <w:shd w:val="clear" w:color="000000" w:fill="FFFFFF"/>
            <w:vAlign w:val="center"/>
          </w:tcPr>
          <w:p w14:paraId="33CC241C">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危险化学品生产企业自行改正或经责令改正后，及时改正违法行为，没有造成危害后果；危险化学品生产企业属于首次被发现，且危害后果轻微，自行改正或经责令改正后，及时改正违法行为。</w:t>
            </w:r>
          </w:p>
        </w:tc>
        <w:tc>
          <w:tcPr>
            <w:tcW w:w="5641" w:type="dxa"/>
            <w:shd w:val="clear" w:color="000000" w:fill="FFFFFF"/>
            <w:vAlign w:val="center"/>
          </w:tcPr>
          <w:p w14:paraId="68901DC4">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1.《危险化学品安全管理条例》第七十八条第一款：</w:t>
            </w:r>
            <w:r>
              <w:rPr>
                <w:rFonts w:hint="eastAsia" w:ascii="仿宋_GB2312" w:hAnsi="宋体" w:eastAsia="仿宋_GB2312" w:cs="宋体"/>
                <w:kern w:val="0"/>
                <w:sz w:val="24"/>
                <w:szCs w:val="24"/>
              </w:rPr>
              <w:t>有下列情形之一的，由安全生产监督管理部门责令改正，可以处5万元以下的罚款；拒不改正的，处5万元以上10 万元以下的罚款；情节严重的，责令停产停业整顿:（六）危险化学品经营企业经营没有化学品安全技术说明书和化学品安全标签的危险化学品的；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58467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3" w:hRule="atLeast"/>
        </w:trPr>
        <w:tc>
          <w:tcPr>
            <w:tcW w:w="851" w:type="dxa"/>
            <w:shd w:val="clear" w:color="000000" w:fill="FFFFFF"/>
            <w:vAlign w:val="center"/>
          </w:tcPr>
          <w:p w14:paraId="6B915B03">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2269" w:type="dxa"/>
            <w:shd w:val="clear" w:color="000000" w:fill="FFFFFF"/>
            <w:vAlign w:val="center"/>
          </w:tcPr>
          <w:p w14:paraId="4346C25D">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危险化学品包装物、容器的材质以及包装的型式、规格、方法和单件质量（重量）与所包装的危险化学品的性质和用途不相适应的。</w:t>
            </w:r>
          </w:p>
        </w:tc>
        <w:tc>
          <w:tcPr>
            <w:tcW w:w="2551" w:type="dxa"/>
            <w:shd w:val="clear" w:color="000000" w:fill="FFFFFF"/>
            <w:vAlign w:val="center"/>
          </w:tcPr>
          <w:p w14:paraId="37C2AAEB">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危险化学品生产企业自行改正或经责令改正后，及时改正违法行为，没有造成危害后果；危险化学品生产企业属于首次被发现，且危害后果轻微，自行改正或经责令改正后，及时改正违法行为。</w:t>
            </w:r>
          </w:p>
        </w:tc>
        <w:tc>
          <w:tcPr>
            <w:tcW w:w="5641" w:type="dxa"/>
            <w:shd w:val="clear" w:color="000000" w:fill="FFFFFF"/>
            <w:vAlign w:val="center"/>
          </w:tcPr>
          <w:p w14:paraId="5C394B4A">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1.《危险化学品安全管理条例》第七十八条第一款：</w:t>
            </w:r>
            <w:r>
              <w:rPr>
                <w:rFonts w:hint="eastAsia" w:ascii="仿宋_GB2312" w:hAnsi="宋体" w:eastAsia="仿宋_GB2312" w:cs="宋体"/>
                <w:kern w:val="0"/>
                <w:sz w:val="24"/>
                <w:szCs w:val="24"/>
              </w:rPr>
              <w:t>有下列情形之一的，由安全生产监督管理部门责令改正，可以处5万元以下的罚款；拒不改正的，处5万元以上10 万元以下的罚款；情节严重的，责令停产停业整顿:（七）危险化学品包装物、容器的材质以及包装的型式、规格、方法和单件质量（重量）与所包装的危险化学品的性质和用途不相适应的；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0BF0A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851" w:type="dxa"/>
            <w:shd w:val="clear" w:color="000000" w:fill="FFFFFF"/>
            <w:vAlign w:val="center"/>
          </w:tcPr>
          <w:p w14:paraId="3FDF3F2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w:t>
            </w:r>
          </w:p>
        </w:tc>
        <w:tc>
          <w:tcPr>
            <w:tcW w:w="2269" w:type="dxa"/>
            <w:shd w:val="clear" w:color="000000" w:fill="FFFFFF"/>
            <w:vAlign w:val="center"/>
          </w:tcPr>
          <w:p w14:paraId="7A0FD1E4">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生产、储存、使用危险化学品的单位转产、停产、停业或者解散，未按规定将其危险化学品生产装置、储存设施以及库存危险化学品的处置方案报有关部门备案的。</w:t>
            </w:r>
          </w:p>
        </w:tc>
        <w:tc>
          <w:tcPr>
            <w:tcW w:w="2551" w:type="dxa"/>
            <w:shd w:val="clear" w:color="000000" w:fill="FFFFFF"/>
            <w:vAlign w:val="center"/>
          </w:tcPr>
          <w:p w14:paraId="75790486">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储存、使用危险化学品的单位自行改正或经责令改正后，及时改正违法行为，没有造成危害后果；生产、储存、使用危险化学品的单位属于首次被发现，且危害后果轻微，自行改正或经责令改正后，及时改正违法行为。</w:t>
            </w:r>
          </w:p>
        </w:tc>
        <w:tc>
          <w:tcPr>
            <w:tcW w:w="5641" w:type="dxa"/>
            <w:shd w:val="clear" w:color="000000" w:fill="FFFFFF"/>
            <w:vAlign w:val="center"/>
          </w:tcPr>
          <w:p w14:paraId="33672F8C">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1.《危险化学品安全管理条例》第八十二条第二款：</w:t>
            </w:r>
            <w:r>
              <w:rPr>
                <w:rFonts w:hint="eastAsia" w:ascii="仿宋_GB2312" w:hAnsi="宋体" w:eastAsia="仿宋_GB2312" w:cs="宋体"/>
                <w:kern w:val="0"/>
                <w:sz w:val="24"/>
                <w:szCs w:val="24"/>
              </w:rPr>
              <w:t>生产、储存、使用危险化学品的单位转产、停产、停业或者解散，未依照本条例规定将其危险化学品生产装置、储存设施以及库存危险化学品的处置方案报有关部门备案的，分别由有关部门责令改正，可以处1万元以下的罚款；拒不改正的，处1万元以上5万元以下的罚款。</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0C46C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2" w:hRule="atLeast"/>
        </w:trPr>
        <w:tc>
          <w:tcPr>
            <w:tcW w:w="851" w:type="dxa"/>
            <w:shd w:val="clear" w:color="000000" w:fill="FFFFFF"/>
            <w:vAlign w:val="center"/>
          </w:tcPr>
          <w:p w14:paraId="14E9F1F4">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6</w:t>
            </w:r>
          </w:p>
        </w:tc>
        <w:tc>
          <w:tcPr>
            <w:tcW w:w="2269" w:type="dxa"/>
            <w:shd w:val="clear" w:color="000000" w:fill="FFFFFF"/>
            <w:vAlign w:val="center"/>
          </w:tcPr>
          <w:p w14:paraId="0F30C816">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生产经营单位对从业人员进行安全培训期间未支付工资并承担安全培训费用的。</w:t>
            </w:r>
          </w:p>
        </w:tc>
        <w:tc>
          <w:tcPr>
            <w:tcW w:w="2551" w:type="dxa"/>
            <w:shd w:val="clear" w:color="000000" w:fill="FFFFFF"/>
            <w:vAlign w:val="center"/>
          </w:tcPr>
          <w:p w14:paraId="6B7F9A80">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生产经营单位自行改正或经责令限期改正后，及时改正违法行为，没有造成危害后果；生产经营单位属于首次被发现，且危害后果轻微，自行改正或经责令限期改正后，及时改正违法行为。</w:t>
            </w:r>
          </w:p>
        </w:tc>
        <w:tc>
          <w:tcPr>
            <w:tcW w:w="5641" w:type="dxa"/>
            <w:shd w:val="clear" w:color="000000" w:fill="FFFFFF"/>
            <w:vAlign w:val="center"/>
          </w:tcPr>
          <w:p w14:paraId="48B2EC8C">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1.《生产经营单位安全培训规定》（原国家安全监管总局令第3号）第二十九条：</w:t>
            </w:r>
            <w:r>
              <w:rPr>
                <w:rFonts w:hint="eastAsia" w:ascii="仿宋_GB2312" w:hAnsi="宋体" w:eastAsia="仿宋_GB2312" w:cs="宋体"/>
                <w:kern w:val="0"/>
                <w:sz w:val="24"/>
                <w:szCs w:val="24"/>
              </w:rPr>
              <w:t>生产经营单位有下列行为之一的，由安全生产监管监察部门责令其限期改正，可以处1万元以上3 万元以下的罚款：（二）从业人员进行安全培训期间未支付工资并承担安全培训费用的。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14079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8" w:hRule="atLeast"/>
        </w:trPr>
        <w:tc>
          <w:tcPr>
            <w:tcW w:w="851" w:type="dxa"/>
            <w:shd w:val="clear" w:color="000000" w:fill="FFFFFF"/>
            <w:vAlign w:val="center"/>
          </w:tcPr>
          <w:p w14:paraId="0343510B">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w:t>
            </w:r>
          </w:p>
        </w:tc>
        <w:tc>
          <w:tcPr>
            <w:tcW w:w="2269" w:type="dxa"/>
            <w:shd w:val="clear" w:color="000000" w:fill="FFFFFF"/>
            <w:vAlign w:val="center"/>
          </w:tcPr>
          <w:p w14:paraId="34F8D2F6">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危险化学品生产企业、进口企业(以下统称登记企业)未向用户提供应急咨询服务或者应急咨询服务不符合《危险化学品登记管理办法》第二十二条规定的</w:t>
            </w:r>
          </w:p>
        </w:tc>
        <w:tc>
          <w:tcPr>
            <w:tcW w:w="2551" w:type="dxa"/>
            <w:shd w:val="clear" w:color="000000" w:fill="FFFFFF"/>
            <w:vAlign w:val="center"/>
          </w:tcPr>
          <w:p w14:paraId="202BBF52">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登记企业自行改正或经责令改正后，及时改正违法行为，没有造成危害后果；登记企业属于首次被发现，且危害后果轻微，自行改正或经责令改正后，及时改正违法行为。</w:t>
            </w:r>
          </w:p>
        </w:tc>
        <w:tc>
          <w:tcPr>
            <w:tcW w:w="5641" w:type="dxa"/>
            <w:shd w:val="clear" w:color="000000" w:fill="FFFFFF"/>
            <w:vAlign w:val="center"/>
          </w:tcPr>
          <w:p w14:paraId="17D472DA">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1.《危险化学品登记管理办法》（原国家安全监管总局令第53号）第三十条：</w:t>
            </w:r>
            <w:r>
              <w:rPr>
                <w:rFonts w:hint="eastAsia" w:ascii="仿宋_GB2312" w:hAnsi="宋体" w:eastAsia="仿宋_GB2312" w:cs="宋体"/>
                <w:kern w:val="0"/>
                <w:sz w:val="24"/>
                <w:szCs w:val="24"/>
              </w:rPr>
              <w:t>登记企业有下列行为之一的，责令改正，可以处3万元以下的罚款：（一）未向用户提供应急咨询服务或者应急咨询服务不符合本办法第二十二条规定的；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7EDF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trPr>
        <w:tc>
          <w:tcPr>
            <w:tcW w:w="851" w:type="dxa"/>
            <w:shd w:val="clear" w:color="000000" w:fill="FFFFFF"/>
            <w:vAlign w:val="center"/>
          </w:tcPr>
          <w:p w14:paraId="721B1C59">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8</w:t>
            </w:r>
          </w:p>
        </w:tc>
        <w:tc>
          <w:tcPr>
            <w:tcW w:w="2269" w:type="dxa"/>
            <w:shd w:val="clear" w:color="000000" w:fill="FFFFFF"/>
            <w:vAlign w:val="center"/>
          </w:tcPr>
          <w:p w14:paraId="5E11F520">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登记企业在危险化学品登记证有效期内企业名称、注册地址、应急咨询服务电话发生变化，未按规定按时办理危险化学品登记变更手续的；</w:t>
            </w:r>
          </w:p>
        </w:tc>
        <w:tc>
          <w:tcPr>
            <w:tcW w:w="2551" w:type="dxa"/>
            <w:shd w:val="clear" w:color="000000" w:fill="FFFFFF"/>
            <w:vAlign w:val="center"/>
          </w:tcPr>
          <w:p w14:paraId="55338F51">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登记企业自行改正或经责令改正后，及时改正违法行为，没有造成危害后果；登记企业属于首次被发现，且危害后果轻微，自行改正或经责令改正后，及时改正违法行为。</w:t>
            </w:r>
          </w:p>
        </w:tc>
        <w:tc>
          <w:tcPr>
            <w:tcW w:w="5641" w:type="dxa"/>
            <w:shd w:val="clear" w:color="000000" w:fill="FFFFFF"/>
            <w:vAlign w:val="center"/>
          </w:tcPr>
          <w:p w14:paraId="6CB9171A">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1.《危险化学品登记管理办法》（原国家安全监管总局令第53号）第三十条：</w:t>
            </w:r>
            <w:r>
              <w:rPr>
                <w:rFonts w:hint="eastAsia" w:ascii="仿宋_GB2312" w:hAnsi="宋体" w:eastAsia="仿宋_GB2312" w:cs="宋体"/>
                <w:kern w:val="0"/>
                <w:sz w:val="24"/>
                <w:szCs w:val="24"/>
              </w:rPr>
              <w:t>登记企业有下列行为之一的，责令改正，可以处3万元以下的罚款：（二）在危险化学品登记证有效期内企业名称、注册地址、应急咨询服务电话发生变化，未按规定按时办理危险化学品登记变更手续的；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64D9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trPr>
        <w:tc>
          <w:tcPr>
            <w:tcW w:w="851" w:type="dxa"/>
            <w:shd w:val="clear" w:color="000000" w:fill="FFFFFF"/>
            <w:vAlign w:val="center"/>
          </w:tcPr>
          <w:p w14:paraId="08248AB3">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9</w:t>
            </w:r>
          </w:p>
        </w:tc>
        <w:tc>
          <w:tcPr>
            <w:tcW w:w="2269" w:type="dxa"/>
            <w:shd w:val="clear" w:color="000000" w:fill="FFFFFF"/>
            <w:vAlign w:val="center"/>
          </w:tcPr>
          <w:p w14:paraId="6AC05408">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危险化学品登记证有效期满后,未按规定申请复核换证,继续进行生产或者进口的。</w:t>
            </w:r>
          </w:p>
        </w:tc>
        <w:tc>
          <w:tcPr>
            <w:tcW w:w="2551" w:type="dxa"/>
            <w:shd w:val="clear" w:color="000000" w:fill="FFFFFF"/>
            <w:vAlign w:val="center"/>
          </w:tcPr>
          <w:p w14:paraId="41A99E2C">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登记企业自行改正或经责令改正后，及时改正违法行为，没有造成危害后果；登记企业属于首次被发现，且危害后果轻微，自行改正或经责令改正后，及时改正违法行为。</w:t>
            </w:r>
          </w:p>
        </w:tc>
        <w:tc>
          <w:tcPr>
            <w:tcW w:w="5641" w:type="dxa"/>
            <w:shd w:val="clear" w:color="000000" w:fill="FFFFFF"/>
            <w:vAlign w:val="center"/>
          </w:tcPr>
          <w:p w14:paraId="52E9CC90">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1.《危险化学品登记管理办法》（原国家安全监管总局令第53号）第三十条：</w:t>
            </w:r>
            <w:r>
              <w:rPr>
                <w:rFonts w:hint="eastAsia" w:ascii="仿宋_GB2312" w:hAnsi="宋体" w:eastAsia="仿宋_GB2312" w:cs="宋体"/>
                <w:kern w:val="0"/>
                <w:sz w:val="24"/>
                <w:szCs w:val="24"/>
              </w:rPr>
              <w:t>登记企业有下列行为之一的，责令改正，可以处3万元以下的罚款：危险化学品登记证有效期满后,未按规定申请复核换证,继续进行生产或者进口的;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2CAC0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851" w:type="dxa"/>
            <w:shd w:val="clear" w:color="000000" w:fill="FFFFFF"/>
            <w:vAlign w:val="center"/>
          </w:tcPr>
          <w:p w14:paraId="2DACCA49">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10</w:t>
            </w:r>
          </w:p>
        </w:tc>
        <w:tc>
          <w:tcPr>
            <w:tcW w:w="2269" w:type="dxa"/>
            <w:shd w:val="clear" w:color="000000" w:fill="FFFFFF"/>
            <w:vAlign w:val="center"/>
          </w:tcPr>
          <w:p w14:paraId="219D977E">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烟花爆竹生产企业、批发企业未建立烟花爆竹买卖合同管理制度的。</w:t>
            </w:r>
          </w:p>
        </w:tc>
        <w:tc>
          <w:tcPr>
            <w:tcW w:w="2551" w:type="dxa"/>
            <w:shd w:val="clear" w:color="000000" w:fill="FFFFFF"/>
            <w:vAlign w:val="center"/>
          </w:tcPr>
          <w:p w14:paraId="709AAE3E">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烟花爆竹生产企业、批发企业自行改正或经责令改正后，及时改正违法行为，没有造成危害后果；烟花爆竹生产企业、批发企业属于首次被发现，且危害后果轻微，自行改正或经责令改正后，及时改正违法行为。</w:t>
            </w:r>
          </w:p>
        </w:tc>
        <w:tc>
          <w:tcPr>
            <w:tcW w:w="5641" w:type="dxa"/>
            <w:shd w:val="clear" w:color="000000" w:fill="FFFFFF"/>
            <w:vAlign w:val="center"/>
          </w:tcPr>
          <w:p w14:paraId="03051BBB">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1.《烟花爆竹生产经营安全规定》（原国家安全监管总局令第93号）第三十五条：</w:t>
            </w:r>
            <w:r>
              <w:rPr>
                <w:rFonts w:hint="eastAsia" w:ascii="仿宋_GB2312" w:hAnsi="宋体" w:eastAsia="仿宋_GB2312" w:cs="宋体"/>
                <w:kern w:val="0"/>
                <w:sz w:val="24"/>
                <w:szCs w:val="24"/>
              </w:rPr>
              <w:t>生产企业、批发企业有下列行为之一的，责令限期改正，可以处十万元以下的罚款;逾期未改正的，责令停产停业整顿，并处十万元以上二十万元以下的罚款，对其直接负责的主管人员和其他直接责任人员处二万元以上五万元以下的罚款：(三)未建立烟花爆竹买卖合同管理制度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77E5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851" w:type="dxa"/>
            <w:shd w:val="clear" w:color="000000" w:fill="FFFFFF"/>
            <w:vAlign w:val="center"/>
          </w:tcPr>
          <w:p w14:paraId="28547545">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11</w:t>
            </w:r>
          </w:p>
        </w:tc>
        <w:tc>
          <w:tcPr>
            <w:tcW w:w="2269" w:type="dxa"/>
            <w:shd w:val="clear" w:color="000000" w:fill="FFFFFF"/>
            <w:vAlign w:val="center"/>
          </w:tcPr>
          <w:p w14:paraId="66081C31">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烟花爆竹生产企业、批发企业未按规定建立烟花爆竹流向管理制度的。</w:t>
            </w:r>
          </w:p>
        </w:tc>
        <w:tc>
          <w:tcPr>
            <w:tcW w:w="2551" w:type="dxa"/>
            <w:shd w:val="clear" w:color="000000" w:fill="FFFFFF"/>
            <w:vAlign w:val="center"/>
          </w:tcPr>
          <w:p w14:paraId="0D4E8370">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烟花爆竹生产企业、批发企业自行改正或经责令改正后，及时改正违法行为，没有造成危害后果；烟花爆竹生产企业、批发企业属于首次被发现，且危害后果轻微，自行改正或经责令改正后，及时改正违法行为。</w:t>
            </w:r>
          </w:p>
        </w:tc>
        <w:tc>
          <w:tcPr>
            <w:tcW w:w="5641" w:type="dxa"/>
            <w:shd w:val="clear" w:color="000000" w:fill="FFFFFF"/>
            <w:vAlign w:val="center"/>
          </w:tcPr>
          <w:p w14:paraId="79699695">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1.《烟花爆竹生产经营安全规定》（原国家安全监管总局令第93号）第三十五条：</w:t>
            </w:r>
            <w:r>
              <w:rPr>
                <w:rFonts w:hint="eastAsia" w:ascii="仿宋_GB2312" w:hAnsi="宋体" w:eastAsia="仿宋_GB2312" w:cs="宋体"/>
                <w:kern w:val="0"/>
                <w:sz w:val="24"/>
                <w:szCs w:val="24"/>
              </w:rPr>
              <w:t>生产企业、批发企业有下列行为之一的，责令限期改正，可以处十万元以下的罚款;逾期未改正的，责令停产停业整顿，并处十万元以上二十万元以下的罚款，对其直接负责的主管人员和其他直接责任人员处二万元以上五万元以下的罚款：(三)未按规定建立烟花爆竹流向管理制度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3B9FF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851" w:type="dxa"/>
            <w:shd w:val="clear" w:color="000000" w:fill="FFFFFF"/>
            <w:vAlign w:val="center"/>
          </w:tcPr>
          <w:p w14:paraId="5747567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12</w:t>
            </w:r>
          </w:p>
        </w:tc>
        <w:tc>
          <w:tcPr>
            <w:tcW w:w="2269" w:type="dxa"/>
            <w:shd w:val="clear" w:color="000000" w:fill="FFFFFF"/>
            <w:vAlign w:val="center"/>
          </w:tcPr>
          <w:p w14:paraId="7C2E5D91">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烟花爆竹零售经营者到批发企业仓库自行提取烟花爆竹的。</w:t>
            </w:r>
          </w:p>
        </w:tc>
        <w:tc>
          <w:tcPr>
            <w:tcW w:w="2551" w:type="dxa"/>
            <w:shd w:val="clear" w:color="000000" w:fill="FFFFFF"/>
            <w:vAlign w:val="center"/>
          </w:tcPr>
          <w:p w14:paraId="3CC44C6F">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烟花爆竹零售经营者自行改正或经责令改正后，及时改正违法行为，没有造成危害后果；烟花爆竹零售经营者属于首次被发现，且危害后果轻微，自行改正或经责令改正后，及时改正违法行为。</w:t>
            </w:r>
          </w:p>
        </w:tc>
        <w:tc>
          <w:tcPr>
            <w:tcW w:w="5641" w:type="dxa"/>
            <w:shd w:val="clear" w:color="000000" w:fill="FFFFFF"/>
            <w:vAlign w:val="center"/>
          </w:tcPr>
          <w:p w14:paraId="62952C24">
            <w:pPr>
              <w:widowControl/>
              <w:spacing w:line="32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1.《烟花爆竹生产经营安全规定》（原国家安全监管总局令第93号）第三十六条：</w:t>
            </w:r>
            <w:r>
              <w:rPr>
                <w:rFonts w:hint="eastAsia" w:ascii="仿宋_GB2312" w:hAnsi="宋体" w:eastAsia="仿宋_GB2312" w:cs="宋体"/>
                <w:kern w:val="0"/>
                <w:sz w:val="24"/>
                <w:szCs w:val="24"/>
              </w:rPr>
              <w:t>零售经营者有下列行为之一的，责令其限期改正，可以处一千元以上五千元以下的罚款;逾期未改正的，处五千元以上一万元以下的罚款：到批发企业仓库自行提取烟花爆竹的。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20B3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2" w:hRule="atLeast"/>
        </w:trPr>
        <w:tc>
          <w:tcPr>
            <w:tcW w:w="851" w:type="dxa"/>
            <w:shd w:val="clear" w:color="000000" w:fill="FFFFFF"/>
            <w:vAlign w:val="center"/>
          </w:tcPr>
          <w:p w14:paraId="377246B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13</w:t>
            </w:r>
          </w:p>
        </w:tc>
        <w:tc>
          <w:tcPr>
            <w:tcW w:w="2269" w:type="dxa"/>
            <w:shd w:val="clear" w:color="000000" w:fill="FFFFFF"/>
            <w:vAlign w:val="center"/>
          </w:tcPr>
          <w:p w14:paraId="33FC28F6">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生产经营单位者在应急预案编制前未按照规定开展风险辨识、评估和应急资源调查的。</w:t>
            </w:r>
          </w:p>
        </w:tc>
        <w:tc>
          <w:tcPr>
            <w:tcW w:w="2551" w:type="dxa"/>
            <w:shd w:val="clear" w:color="000000" w:fill="FFFFFF"/>
            <w:vAlign w:val="center"/>
          </w:tcPr>
          <w:p w14:paraId="042F8ABC">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生产经营单位自行改正或经责令改正后，及时改正违法行为，没有造成危害后果；生产经营单位属于首次被发现，且危害后果轻微，自行改正或经责令改正后，及时改正违法行为。</w:t>
            </w:r>
          </w:p>
        </w:tc>
        <w:tc>
          <w:tcPr>
            <w:tcW w:w="5641" w:type="dxa"/>
            <w:shd w:val="clear" w:color="000000" w:fill="FFFFFF"/>
            <w:vAlign w:val="center"/>
          </w:tcPr>
          <w:p w14:paraId="5D63729B">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1.《生产安全事故应急预案管理办法》（应急管理部令第2号）第四十五条第一款：</w:t>
            </w:r>
            <w:r>
              <w:rPr>
                <w:rFonts w:hint="eastAsia" w:ascii="仿宋_GB2312" w:hAnsi="宋体" w:eastAsia="仿宋_GB2312" w:cs="宋体"/>
                <w:kern w:val="0"/>
                <w:sz w:val="24"/>
                <w:szCs w:val="24"/>
              </w:rPr>
              <w:t>生产经营单位有下列情形之一的，由县级以上人民政府应急管理部门责令限期改正，可以处1万元以上3万元以下的罚款：（一）在应急预案编制前未按照规定开展风险辨识、评估和应急资源调查的；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75073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2" w:hRule="atLeast"/>
        </w:trPr>
        <w:tc>
          <w:tcPr>
            <w:tcW w:w="851" w:type="dxa"/>
            <w:shd w:val="clear" w:color="000000" w:fill="FFFFFF"/>
            <w:vAlign w:val="center"/>
          </w:tcPr>
          <w:p w14:paraId="0C428510">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14</w:t>
            </w:r>
          </w:p>
        </w:tc>
        <w:tc>
          <w:tcPr>
            <w:tcW w:w="2269" w:type="dxa"/>
            <w:shd w:val="clear" w:color="000000" w:fill="FFFFFF"/>
            <w:vAlign w:val="center"/>
          </w:tcPr>
          <w:p w14:paraId="55835FC1">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生产经营单位未按照规定开展应急预案评审的。</w:t>
            </w:r>
          </w:p>
        </w:tc>
        <w:tc>
          <w:tcPr>
            <w:tcW w:w="2551" w:type="dxa"/>
            <w:shd w:val="clear" w:color="000000" w:fill="FFFFFF"/>
            <w:vAlign w:val="center"/>
          </w:tcPr>
          <w:p w14:paraId="5D2B2D6C">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生产经营单位自行改正或经责令改正后，及时改正违法行为，没有造成危害后果；生产经营单位属于首次被发现，且危害后果轻微，自行改正或经责令改正后，及时改正违法行为。</w:t>
            </w:r>
          </w:p>
        </w:tc>
        <w:tc>
          <w:tcPr>
            <w:tcW w:w="5641" w:type="dxa"/>
            <w:shd w:val="clear" w:color="000000" w:fill="FFFFFF"/>
            <w:vAlign w:val="center"/>
          </w:tcPr>
          <w:p w14:paraId="13A3E650">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1.《生产安全事故应急预案管理办法》（应急管理部令第2号）第四十五条第一款：</w:t>
            </w:r>
            <w:r>
              <w:rPr>
                <w:rFonts w:hint="eastAsia" w:ascii="仿宋_GB2312" w:hAnsi="宋体" w:eastAsia="仿宋_GB2312" w:cs="宋体"/>
                <w:kern w:val="0"/>
                <w:sz w:val="24"/>
                <w:szCs w:val="24"/>
              </w:rPr>
              <w:t>生产经营单位有下列情形之一的，由县级以上人民政府应急管理部门责令限期改正，可以处1万元以上3万元以下的罚款：（二）未按照规定开展应急预案评审的；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5E7DE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851" w:type="dxa"/>
            <w:shd w:val="clear" w:color="000000" w:fill="FFFFFF"/>
            <w:vAlign w:val="center"/>
          </w:tcPr>
          <w:p w14:paraId="4B38E246">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15</w:t>
            </w:r>
          </w:p>
        </w:tc>
        <w:tc>
          <w:tcPr>
            <w:tcW w:w="2269" w:type="dxa"/>
            <w:shd w:val="clear" w:color="000000" w:fill="FFFFFF"/>
            <w:vAlign w:val="center"/>
          </w:tcPr>
          <w:p w14:paraId="0B0C8B0D">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生产经营单位事故风险可能影响周边单位、人员的，未将事故风险的性质、影响范围和应急防范措施告知周边单位和人员的。</w:t>
            </w:r>
          </w:p>
        </w:tc>
        <w:tc>
          <w:tcPr>
            <w:tcW w:w="2551" w:type="dxa"/>
            <w:shd w:val="clear" w:color="000000" w:fill="FFFFFF"/>
            <w:vAlign w:val="center"/>
          </w:tcPr>
          <w:p w14:paraId="423F5B7A">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生产经营单位自行改正或经责令改正后，及时改正违法行为，没有造成危害后果；生产经营单位属于首次被发现，且危害后果轻微，自行改正或经责令改正后，及时改正违法行为。</w:t>
            </w:r>
          </w:p>
        </w:tc>
        <w:tc>
          <w:tcPr>
            <w:tcW w:w="5641" w:type="dxa"/>
            <w:shd w:val="clear" w:color="000000" w:fill="FFFFFF"/>
            <w:vAlign w:val="center"/>
          </w:tcPr>
          <w:p w14:paraId="63326C0E">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1.《生产安全事故应急预案管理办法》（应急管理部令第2号）第四十五条第一款：</w:t>
            </w:r>
            <w:r>
              <w:rPr>
                <w:rFonts w:hint="eastAsia" w:ascii="仿宋_GB2312" w:hAnsi="宋体" w:eastAsia="仿宋_GB2312" w:cs="宋体"/>
                <w:kern w:val="0"/>
                <w:sz w:val="24"/>
                <w:szCs w:val="24"/>
              </w:rPr>
              <w:t>生产经营单位有下列情形之一的，由县级以上人民政府应急管理部门责令限期改正，可以处1万元以上3万元以下的罚款：（三）事故风险可能影响周边单位、人员的，未将事故风险的性质、影响范围和应急防范措施告知周边单位和人员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6C30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1" w:hRule="atLeast"/>
        </w:trPr>
        <w:tc>
          <w:tcPr>
            <w:tcW w:w="851" w:type="dxa"/>
            <w:shd w:val="clear" w:color="000000" w:fill="FFFFFF"/>
            <w:vAlign w:val="center"/>
          </w:tcPr>
          <w:p w14:paraId="410F9B55">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16</w:t>
            </w:r>
          </w:p>
        </w:tc>
        <w:tc>
          <w:tcPr>
            <w:tcW w:w="2269" w:type="dxa"/>
            <w:shd w:val="clear" w:color="000000" w:fill="FFFFFF"/>
            <w:vAlign w:val="center"/>
          </w:tcPr>
          <w:p w14:paraId="2EF6C2C7">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生产经营单位未按照规定开展应急预案评估的。</w:t>
            </w:r>
          </w:p>
        </w:tc>
        <w:tc>
          <w:tcPr>
            <w:tcW w:w="2551" w:type="dxa"/>
            <w:shd w:val="clear" w:color="000000" w:fill="FFFFFF"/>
            <w:vAlign w:val="center"/>
          </w:tcPr>
          <w:p w14:paraId="0214B6BC">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生产经营单位自行改正或经责令改正后，及时改正违法行为，没有造成危害后果；生产经营单位属于首次被发现，且危害后果轻微，自行改正或经责令改正后，及时改正违法行为。</w:t>
            </w:r>
          </w:p>
        </w:tc>
        <w:tc>
          <w:tcPr>
            <w:tcW w:w="5641" w:type="dxa"/>
            <w:shd w:val="clear" w:color="000000" w:fill="FFFFFF"/>
            <w:vAlign w:val="center"/>
          </w:tcPr>
          <w:p w14:paraId="13109394">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1.《生产安全事故应急预案管理办法》（应急管理部令第2号）第四十五条第一款：</w:t>
            </w:r>
            <w:r>
              <w:rPr>
                <w:rFonts w:hint="eastAsia" w:ascii="仿宋_GB2312" w:hAnsi="宋体" w:eastAsia="仿宋_GB2312" w:cs="宋体"/>
                <w:kern w:val="0"/>
                <w:sz w:val="24"/>
                <w:szCs w:val="24"/>
              </w:rPr>
              <w:t>生产经营单位有下列情形之一的，由县级以上人民政府应急管理部门责令限期改正，可以处1万元以上3万元以下的罚款：（四）未按照规定开展应急预案评估的；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354AC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trPr>
        <w:tc>
          <w:tcPr>
            <w:tcW w:w="851" w:type="dxa"/>
            <w:shd w:val="clear" w:color="000000" w:fill="FFFFFF"/>
            <w:vAlign w:val="center"/>
          </w:tcPr>
          <w:p w14:paraId="120C9E6B">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17</w:t>
            </w:r>
          </w:p>
        </w:tc>
        <w:tc>
          <w:tcPr>
            <w:tcW w:w="2269" w:type="dxa"/>
            <w:shd w:val="clear" w:color="000000" w:fill="FFFFFF"/>
            <w:vAlign w:val="center"/>
          </w:tcPr>
          <w:p w14:paraId="2A1F07DF">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生产经营单位未按照规定进行应急预案修订的</w:t>
            </w:r>
          </w:p>
        </w:tc>
        <w:tc>
          <w:tcPr>
            <w:tcW w:w="2551" w:type="dxa"/>
            <w:shd w:val="clear" w:color="000000" w:fill="FFFFFF"/>
            <w:vAlign w:val="center"/>
          </w:tcPr>
          <w:p w14:paraId="4603A0BB">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生产经营单位自行改正或经责令改正后，及时改正违法行为，没有造成危害后果；生产经营单位属于首次被发现，且危害后果轻微，自行改正或经责令改正后，及时改正违法行为。</w:t>
            </w:r>
          </w:p>
        </w:tc>
        <w:tc>
          <w:tcPr>
            <w:tcW w:w="5641" w:type="dxa"/>
            <w:shd w:val="clear" w:color="000000" w:fill="FFFFFF"/>
            <w:vAlign w:val="center"/>
          </w:tcPr>
          <w:p w14:paraId="54D19B88">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1.《生产安全事故应急预案管理办法》（应急管理部令第2号）第四十五条第一款：</w:t>
            </w:r>
            <w:r>
              <w:rPr>
                <w:rFonts w:hint="eastAsia" w:ascii="仿宋_GB2312" w:hAnsi="宋体" w:eastAsia="仿宋_GB2312" w:cs="宋体"/>
                <w:kern w:val="0"/>
                <w:sz w:val="24"/>
                <w:szCs w:val="24"/>
              </w:rPr>
              <w:t>生产经营单位有下列情形之一的，由县级以上人民政府应急管理部门责令限期改正，可以处1万元以上3万元以下的罚款：（五）未按照规定进行应急预案修订的；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r w14:paraId="1E6BA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8" w:hRule="atLeast"/>
        </w:trPr>
        <w:tc>
          <w:tcPr>
            <w:tcW w:w="851" w:type="dxa"/>
            <w:shd w:val="clear" w:color="000000" w:fill="FFFFFF"/>
            <w:vAlign w:val="center"/>
          </w:tcPr>
          <w:p w14:paraId="57DFB0A6">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18</w:t>
            </w:r>
          </w:p>
        </w:tc>
        <w:tc>
          <w:tcPr>
            <w:tcW w:w="2269" w:type="dxa"/>
            <w:shd w:val="clear" w:color="000000" w:fill="FFFFFF"/>
            <w:vAlign w:val="center"/>
          </w:tcPr>
          <w:p w14:paraId="1D9F82E2">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生产经营单位未落实应急预案规定的应急物资及装备的</w:t>
            </w:r>
          </w:p>
        </w:tc>
        <w:tc>
          <w:tcPr>
            <w:tcW w:w="2551" w:type="dxa"/>
            <w:shd w:val="clear" w:color="000000" w:fill="FFFFFF"/>
            <w:vAlign w:val="center"/>
          </w:tcPr>
          <w:p w14:paraId="50C7CA9D">
            <w:pPr>
              <w:widowControl/>
              <w:jc w:val="left"/>
              <w:rPr>
                <w:rFonts w:ascii="仿宋_GB2312" w:hAnsi="宋体" w:eastAsia="仿宋_GB2312" w:cs="宋体"/>
                <w:kern w:val="0"/>
                <w:sz w:val="24"/>
                <w:szCs w:val="24"/>
              </w:rPr>
            </w:pPr>
            <w:r>
              <w:rPr>
                <w:rFonts w:hint="eastAsia" w:ascii="仿宋_GB2312" w:hAnsi="宋体" w:eastAsia="仿宋_GB2312" w:cs="宋体"/>
                <w:kern w:val="0"/>
                <w:sz w:val="24"/>
                <w:szCs w:val="24"/>
              </w:rPr>
              <w:t>生产经营单位自行改正或经责令改正后，及时改正违法行为，没有造成危害后果；生产经营单位属于首次被发现，且危害后果轻微，自行改正或经责令改正后，及时改正违法行为。</w:t>
            </w:r>
          </w:p>
        </w:tc>
        <w:tc>
          <w:tcPr>
            <w:tcW w:w="5641" w:type="dxa"/>
            <w:shd w:val="clear" w:color="000000" w:fill="FFFFFF"/>
            <w:vAlign w:val="center"/>
          </w:tcPr>
          <w:p w14:paraId="23EECF2A">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1.《生产安全事故应急预案管理办法》（应急管理部令第2号）第四十五条第一款：</w:t>
            </w:r>
            <w:r>
              <w:rPr>
                <w:rFonts w:hint="eastAsia" w:ascii="仿宋_GB2312" w:hAnsi="宋体" w:eastAsia="仿宋_GB2312" w:cs="宋体"/>
                <w:kern w:val="0"/>
                <w:sz w:val="24"/>
                <w:szCs w:val="24"/>
              </w:rPr>
              <w:t>生产经营单位有下列情形之一的，由县级以上人民政府应急管理部门责令限期改正，可以处1万元以上3万元以下的罚款：（六）未落实应急预案规定的应急物资及装备的；</w:t>
            </w:r>
            <w:r>
              <w:rPr>
                <w:rFonts w:hint="eastAsia" w:ascii="仿宋_GB2312" w:hAnsi="宋体" w:eastAsia="仿宋_GB2312" w:cs="宋体"/>
                <w:kern w:val="0"/>
                <w:sz w:val="24"/>
                <w:szCs w:val="24"/>
              </w:rPr>
              <w:br w:type="textWrapping"/>
            </w:r>
            <w:r>
              <w:rPr>
                <w:rFonts w:hint="eastAsia" w:ascii="仿宋_GB2312" w:hAnsi="宋体" w:eastAsia="仿宋_GB2312" w:cs="宋体"/>
                <w:b/>
                <w:bCs/>
                <w:kern w:val="0"/>
                <w:sz w:val="24"/>
                <w:szCs w:val="24"/>
              </w:rPr>
              <w:t>2.《中华人民共和国行政处罚法》第三十三条第一款</w:t>
            </w:r>
          </w:p>
        </w:tc>
      </w:tr>
    </w:tbl>
    <w:p w14:paraId="4C5ABD62">
      <w:pPr>
        <w:widowControl/>
        <w:jc w:val="left"/>
        <w:rPr>
          <w:rFonts w:ascii="仿宋_GB2312" w:hAnsi="黑体" w:eastAsia="仿宋_GB2312"/>
          <w:sz w:val="32"/>
          <w:szCs w:val="32"/>
        </w:rPr>
      </w:pPr>
    </w:p>
    <w:p w14:paraId="28BD7B44">
      <w:pPr>
        <w:widowControl/>
        <w:jc w:val="left"/>
        <w:rPr>
          <w:rFonts w:ascii="仿宋_GB2312" w:hAnsi="微软雅黑" w:eastAsia="仿宋_GB2312" w:cs="宋体"/>
          <w:kern w:val="0"/>
          <w:sz w:val="32"/>
          <w:szCs w:val="32"/>
          <w:shd w:val="clear" w:color="auto" w:fill="FFFFFF"/>
        </w:rPr>
      </w:pPr>
    </w:p>
    <w:p w14:paraId="30AAA00C">
      <w:pPr>
        <w:widowControl/>
        <w:jc w:val="left"/>
        <w:rPr>
          <w:rFonts w:ascii="仿宋_GB2312" w:hAnsi="微软雅黑" w:eastAsia="仿宋_GB2312" w:cs="宋体"/>
          <w:kern w:val="0"/>
          <w:sz w:val="32"/>
          <w:szCs w:val="32"/>
          <w:shd w:val="clear" w:color="auto" w:fill="FFFFFF"/>
        </w:rPr>
      </w:pPr>
    </w:p>
    <w:p w14:paraId="451D828C">
      <w:pPr>
        <w:widowControl/>
        <w:jc w:val="left"/>
        <w:rPr>
          <w:rFonts w:ascii="仿宋_GB2312" w:hAnsi="微软雅黑" w:eastAsia="仿宋_GB2312" w:cs="宋体"/>
          <w:kern w:val="0"/>
          <w:sz w:val="32"/>
          <w:szCs w:val="32"/>
          <w:shd w:val="clear" w:color="auto" w:fill="FFFFFF"/>
        </w:rPr>
      </w:pPr>
    </w:p>
    <w:p w14:paraId="169913C3">
      <w:pPr>
        <w:widowControl/>
        <w:jc w:val="left"/>
        <w:rPr>
          <w:rFonts w:ascii="仿宋_GB2312" w:hAnsi="微软雅黑" w:eastAsia="仿宋_GB2312" w:cs="宋体"/>
          <w:kern w:val="0"/>
          <w:sz w:val="32"/>
          <w:szCs w:val="32"/>
          <w:shd w:val="clear" w:color="auto" w:fill="FFFFFF"/>
        </w:rPr>
      </w:pPr>
      <w:r>
        <w:rPr>
          <w:rFonts w:hint="eastAsia" w:ascii="仿宋_GB2312" w:hAnsi="微软雅黑" w:eastAsia="仿宋_GB2312" w:cs="宋体"/>
          <w:kern w:val="0"/>
          <w:sz w:val="32"/>
          <w:szCs w:val="32"/>
          <w:shd w:val="clear" w:color="auto" w:fill="FFFFFF"/>
        </w:rPr>
        <w:t>二、从轻、减轻处罚事项清单：</w:t>
      </w:r>
    </w:p>
    <w:p w14:paraId="4632155F">
      <w:pPr>
        <w:jc w:val="center"/>
        <w:rPr>
          <w:rFonts w:ascii="黑体" w:hAnsi="黑体" w:eastAsia="黑体"/>
          <w:sz w:val="32"/>
          <w:szCs w:val="32"/>
          <w:shd w:val="clear" w:color="auto" w:fill="FFFFFF"/>
        </w:rPr>
      </w:pPr>
    </w:p>
    <w:p w14:paraId="1BD7EB38">
      <w:pPr>
        <w:jc w:val="center"/>
        <w:rPr>
          <w:rFonts w:ascii="黑体" w:hAnsi="黑体" w:eastAsia="黑体"/>
          <w:sz w:val="32"/>
          <w:szCs w:val="32"/>
          <w:shd w:val="clear" w:color="auto" w:fill="FFFFFF"/>
        </w:rPr>
      </w:pPr>
      <w:r>
        <w:rPr>
          <w:rFonts w:hint="eastAsia" w:ascii="黑体" w:hAnsi="黑体" w:eastAsia="黑体"/>
          <w:sz w:val="32"/>
          <w:szCs w:val="32"/>
          <w:shd w:val="clear" w:color="auto" w:fill="FFFFFF"/>
        </w:rPr>
        <w:t>广水市安全生产领域轻微违法行为从轻、减轻处罚清单</w:t>
      </w:r>
    </w:p>
    <w:tbl>
      <w:tblPr>
        <w:tblStyle w:val="5"/>
        <w:tblW w:w="11312" w:type="dxa"/>
        <w:tblInd w:w="-1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269"/>
        <w:gridCol w:w="2551"/>
        <w:gridCol w:w="5641"/>
      </w:tblGrid>
      <w:tr w14:paraId="560C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51" w:type="dxa"/>
            <w:shd w:val="clear" w:color="000000" w:fill="FFFFFF"/>
            <w:vAlign w:val="center"/>
          </w:tcPr>
          <w:p w14:paraId="59ADE78A">
            <w:pPr>
              <w:widowControl/>
              <w:jc w:val="center"/>
              <w:rPr>
                <w:rFonts w:ascii="黑体" w:hAnsi="黑体" w:eastAsia="黑体" w:cs="宋体"/>
                <w:kern w:val="0"/>
                <w:sz w:val="28"/>
                <w:szCs w:val="28"/>
              </w:rPr>
            </w:pPr>
            <w:r>
              <w:rPr>
                <w:rFonts w:hint="eastAsia" w:ascii="黑体" w:hAnsi="黑体" w:eastAsia="黑体" w:cs="宋体"/>
                <w:kern w:val="0"/>
                <w:sz w:val="28"/>
                <w:szCs w:val="28"/>
              </w:rPr>
              <w:t>序号</w:t>
            </w:r>
          </w:p>
        </w:tc>
        <w:tc>
          <w:tcPr>
            <w:tcW w:w="2269" w:type="dxa"/>
            <w:shd w:val="clear" w:color="000000" w:fill="FFFFFF"/>
            <w:vAlign w:val="center"/>
          </w:tcPr>
          <w:p w14:paraId="47224F3E">
            <w:pPr>
              <w:widowControl/>
              <w:jc w:val="center"/>
              <w:rPr>
                <w:rFonts w:ascii="黑体" w:hAnsi="黑体" w:eastAsia="黑体" w:cs="宋体"/>
                <w:kern w:val="0"/>
                <w:sz w:val="28"/>
                <w:szCs w:val="28"/>
              </w:rPr>
            </w:pPr>
            <w:r>
              <w:rPr>
                <w:rFonts w:hint="eastAsia" w:ascii="黑体" w:hAnsi="黑体" w:eastAsia="黑体" w:cs="宋体"/>
                <w:kern w:val="0"/>
                <w:sz w:val="28"/>
                <w:szCs w:val="28"/>
              </w:rPr>
              <w:t>违法行为种类</w:t>
            </w:r>
          </w:p>
        </w:tc>
        <w:tc>
          <w:tcPr>
            <w:tcW w:w="2551" w:type="dxa"/>
            <w:shd w:val="clear" w:color="000000" w:fill="FFFFFF"/>
            <w:vAlign w:val="center"/>
          </w:tcPr>
          <w:p w14:paraId="05229348">
            <w:pPr>
              <w:widowControl/>
              <w:jc w:val="center"/>
              <w:rPr>
                <w:rFonts w:ascii="黑体" w:hAnsi="黑体" w:eastAsia="黑体" w:cs="宋体"/>
                <w:kern w:val="0"/>
                <w:sz w:val="28"/>
                <w:szCs w:val="28"/>
              </w:rPr>
            </w:pPr>
            <w:r>
              <w:rPr>
                <w:rFonts w:hint="eastAsia" w:ascii="黑体" w:hAnsi="黑体" w:eastAsia="黑体" w:cs="黑体"/>
                <w:bCs/>
                <w:color w:val="000000"/>
                <w:kern w:val="0"/>
                <w:sz w:val="28"/>
                <w:szCs w:val="28"/>
              </w:rPr>
              <w:t>从轻、减轻行政处罚适用条件</w:t>
            </w:r>
          </w:p>
        </w:tc>
        <w:tc>
          <w:tcPr>
            <w:tcW w:w="5641" w:type="dxa"/>
            <w:shd w:val="clear" w:color="000000" w:fill="FFFFFF"/>
            <w:vAlign w:val="center"/>
          </w:tcPr>
          <w:p w14:paraId="5EB4C762">
            <w:pPr>
              <w:widowControl/>
              <w:jc w:val="center"/>
              <w:rPr>
                <w:rFonts w:ascii="黑体" w:hAnsi="黑体" w:eastAsia="黑体" w:cs="宋体"/>
                <w:kern w:val="0"/>
                <w:sz w:val="28"/>
                <w:szCs w:val="28"/>
              </w:rPr>
            </w:pPr>
            <w:r>
              <w:rPr>
                <w:rFonts w:hint="eastAsia" w:ascii="黑体" w:hAnsi="黑体" w:eastAsia="黑体" w:cs="宋体"/>
                <w:kern w:val="0"/>
                <w:sz w:val="28"/>
                <w:szCs w:val="28"/>
              </w:rPr>
              <w:t>相应法律依据</w:t>
            </w:r>
          </w:p>
        </w:tc>
      </w:tr>
      <w:tr w14:paraId="18A6F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4" w:hRule="atLeast"/>
        </w:trPr>
        <w:tc>
          <w:tcPr>
            <w:tcW w:w="851" w:type="dxa"/>
            <w:shd w:val="clear" w:color="000000" w:fill="FFFFFF"/>
            <w:vAlign w:val="center"/>
          </w:tcPr>
          <w:p w14:paraId="64B8D128">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1</w:t>
            </w:r>
          </w:p>
        </w:tc>
        <w:tc>
          <w:tcPr>
            <w:tcW w:w="2269" w:type="dxa"/>
            <w:shd w:val="clear" w:color="000000" w:fill="FFFFFF"/>
            <w:vAlign w:val="center"/>
          </w:tcPr>
          <w:p w14:paraId="2714C9B6">
            <w:pPr>
              <w:widowControl/>
              <w:jc w:val="left"/>
              <w:rPr>
                <w:rFonts w:ascii="仿宋_GB2312" w:hAnsi="宋体" w:eastAsia="仿宋_GB2312" w:cs="宋体"/>
                <w:kern w:val="0"/>
                <w:sz w:val="24"/>
                <w:szCs w:val="24"/>
              </w:rPr>
            </w:pPr>
            <w:r>
              <w:rPr>
                <w:rFonts w:hint="eastAsia" w:ascii="仿宋_GB2312" w:hAnsi="Times New Roman" w:eastAsia="仿宋_GB2312" w:cs="Times New Roman"/>
                <w:bCs/>
                <w:sz w:val="24"/>
                <w:szCs w:val="24"/>
              </w:rPr>
              <w:t>对承担安全评价、认证、检测、检验职责的机构出具失实报告的行政处罚</w:t>
            </w:r>
          </w:p>
        </w:tc>
        <w:tc>
          <w:tcPr>
            <w:tcW w:w="2551" w:type="dxa"/>
            <w:shd w:val="clear" w:color="000000" w:fill="FFFFFF"/>
            <w:vAlign w:val="center"/>
          </w:tcPr>
          <w:p w14:paraId="0E917598">
            <w:pPr>
              <w:widowControl/>
              <w:jc w:val="left"/>
              <w:rPr>
                <w:rFonts w:ascii="仿宋_GB2312" w:hAnsi="宋体" w:eastAsia="仿宋_GB2312" w:cs="宋体"/>
                <w:kern w:val="0"/>
                <w:sz w:val="24"/>
                <w:szCs w:val="24"/>
              </w:rPr>
            </w:pPr>
            <w:r>
              <w:rPr>
                <w:rFonts w:hint="eastAsia" w:ascii="仿宋_GB2312" w:hAnsi="Times New Roman" w:eastAsia="仿宋_GB2312" w:cs="Times New Roman"/>
                <w:bCs/>
                <w:sz w:val="24"/>
                <w:szCs w:val="24"/>
              </w:rPr>
              <w:t>相关机构在应急管理部门发现违法行为之前，主动予以纠正，但已造成一定危害后果的。</w:t>
            </w:r>
          </w:p>
        </w:tc>
        <w:tc>
          <w:tcPr>
            <w:tcW w:w="5641" w:type="dxa"/>
            <w:shd w:val="clear" w:color="000000" w:fill="FFFFFF"/>
            <w:vAlign w:val="center"/>
          </w:tcPr>
          <w:p w14:paraId="0B45EA0A">
            <w:pPr>
              <w:widowControl/>
              <w:spacing w:line="280" w:lineRule="exact"/>
              <w:jc w:val="left"/>
              <w:rPr>
                <w:rFonts w:ascii="仿宋_GB2312" w:hAnsi="宋体" w:eastAsia="仿宋_GB2312" w:cs="宋体"/>
                <w:kern w:val="0"/>
                <w:sz w:val="24"/>
                <w:szCs w:val="24"/>
              </w:rPr>
            </w:pPr>
            <w:r>
              <w:rPr>
                <w:rFonts w:hint="eastAsia" w:ascii="仿宋_GB2312" w:hAnsi="宋体" w:eastAsia="仿宋_GB2312" w:cs="宋体"/>
                <w:b/>
                <w:bCs/>
                <w:kern w:val="0"/>
                <w:sz w:val="24"/>
                <w:szCs w:val="24"/>
              </w:rPr>
              <w:t>1.</w:t>
            </w:r>
            <w:r>
              <w:rPr>
                <w:rFonts w:ascii="仿宋_GB2312" w:hAnsi="宋体" w:eastAsia="仿宋_GB2312" w:cs="宋体"/>
                <w:b/>
                <w:bCs/>
                <w:kern w:val="0"/>
                <w:sz w:val="24"/>
                <w:szCs w:val="24"/>
              </w:rPr>
              <w:t>《安全生产法》第九十二条第一款</w:t>
            </w:r>
            <w:r>
              <w:rPr>
                <w:rFonts w:hint="eastAsia" w:ascii="仿宋_GB2312" w:hAnsi="宋体" w:eastAsia="仿宋_GB2312" w:cs="宋体"/>
                <w:b/>
                <w:bCs/>
                <w:kern w:val="0"/>
                <w:sz w:val="24"/>
                <w:szCs w:val="24"/>
              </w:rPr>
              <w:t>：</w:t>
            </w:r>
            <w:r>
              <w:rPr>
                <w:rFonts w:hint="eastAsia" w:ascii="仿宋_GB2312" w:hAnsi="Helvetica" w:eastAsia="仿宋_GB2312"/>
                <w:color w:val="333333"/>
                <w:sz w:val="24"/>
                <w:szCs w:val="24"/>
                <w:shd w:val="clear" w:color="auto" w:fill="FFFFFF"/>
              </w:rPr>
              <w:t>承担安全评价、认证、检测、检验职责的机构出具失实报告的，责令停业整顿，并处三万元以上十万元以下的罚款；给他人造成损害的，依法承担赔偿责任。</w:t>
            </w:r>
          </w:p>
          <w:p w14:paraId="5F7D8DFA">
            <w:pPr>
              <w:widowControl/>
              <w:spacing w:line="280" w:lineRule="exact"/>
              <w:jc w:val="left"/>
              <w:rPr>
                <w:rFonts w:ascii="MS Mincho" w:hAnsi="MS Mincho" w:cs="MS Mincho"/>
              </w:rPr>
            </w:pPr>
            <w:r>
              <w:rPr>
                <w:rFonts w:hint="eastAsia" w:ascii="仿宋_GB2312" w:hAnsi="宋体" w:eastAsia="仿宋_GB2312" w:cs="宋体"/>
                <w:b/>
                <w:bCs/>
                <w:kern w:val="0"/>
                <w:sz w:val="24"/>
                <w:szCs w:val="24"/>
              </w:rPr>
              <w:t>2.</w:t>
            </w:r>
            <w:r>
              <w:rPr>
                <w:rFonts w:ascii="仿宋_GB2312" w:hAnsi="宋体" w:eastAsia="仿宋_GB2312" w:cs="宋体"/>
                <w:b/>
                <w:bCs/>
                <w:kern w:val="0"/>
                <w:sz w:val="24"/>
                <w:szCs w:val="24"/>
              </w:rPr>
              <w:t>《</w:t>
            </w:r>
            <w:r>
              <w:rPr>
                <w:rFonts w:hint="eastAsia" w:ascii="仿宋_GB2312" w:hAnsi="宋体" w:eastAsia="仿宋_GB2312" w:cs="宋体"/>
                <w:b/>
                <w:bCs/>
                <w:kern w:val="0"/>
                <w:sz w:val="24"/>
                <w:szCs w:val="24"/>
              </w:rPr>
              <w:t>中华人民共和国行政处罚法</w:t>
            </w:r>
            <w:r>
              <w:rPr>
                <w:rFonts w:ascii="仿宋_GB2312" w:hAnsi="宋体" w:eastAsia="仿宋_GB2312" w:cs="宋体"/>
                <w:b/>
                <w:bCs/>
                <w:kern w:val="0"/>
                <w:sz w:val="24"/>
                <w:szCs w:val="24"/>
              </w:rPr>
              <w:t>》第三十</w:t>
            </w:r>
            <w:r>
              <w:rPr>
                <w:rFonts w:hint="eastAsia" w:ascii="仿宋_GB2312" w:hAnsi="宋体" w:eastAsia="仿宋_GB2312" w:cs="宋体"/>
                <w:b/>
                <w:bCs/>
                <w:kern w:val="0"/>
                <w:sz w:val="24"/>
                <w:szCs w:val="24"/>
              </w:rPr>
              <w:t>二</w:t>
            </w:r>
            <w:r>
              <w:rPr>
                <w:rFonts w:ascii="仿宋_GB2312" w:hAnsi="宋体" w:eastAsia="仿宋_GB2312" w:cs="宋体"/>
                <w:b/>
                <w:bCs/>
                <w:kern w:val="0"/>
                <w:sz w:val="24"/>
                <w:szCs w:val="24"/>
              </w:rPr>
              <w:t>条</w:t>
            </w:r>
            <w:r>
              <w:rPr>
                <w:rFonts w:hint="eastAsia" w:ascii="仿宋_GB2312" w:hAnsi="宋体" w:eastAsia="仿宋_GB2312" w:cs="宋体"/>
                <w:b/>
                <w:bCs/>
                <w:kern w:val="0"/>
                <w:sz w:val="24"/>
                <w:szCs w:val="24"/>
              </w:rPr>
              <w:t>：</w:t>
            </w:r>
            <w:r>
              <w:rPr>
                <w:rFonts w:hint="eastAsia" w:ascii="仿宋_GB2312" w:eastAsia="仿宋_GB2312"/>
                <w:sz w:val="24"/>
                <w:szCs w:val="24"/>
              </w:rPr>
              <w:t>当事人有下列情形之一，应当从轻或者减轻行政处罚：（一）主动消除或者减轻违法行为危害后果的；（二）受他人胁迫或者诱骗实施违法行为的；（三）主动供述行政机关尚未掌握的违法行为的；（四）配合行政机关查处违法行为有立功表现的；（五）法律、法规、规章规定其他应当从轻或者减轻行政处罚的。</w:t>
            </w:r>
          </w:p>
        </w:tc>
      </w:tr>
      <w:tr w14:paraId="6D718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1" w:hRule="atLeast"/>
        </w:trPr>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14:paraId="457EFACC">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2</w:t>
            </w:r>
          </w:p>
        </w:tc>
        <w:tc>
          <w:tcPr>
            <w:tcW w:w="2269" w:type="dxa"/>
            <w:tcBorders>
              <w:top w:val="single" w:color="auto" w:sz="4" w:space="0"/>
              <w:left w:val="single" w:color="auto" w:sz="4" w:space="0"/>
              <w:bottom w:val="single" w:color="auto" w:sz="4" w:space="0"/>
              <w:right w:val="single" w:color="auto" w:sz="4" w:space="0"/>
            </w:tcBorders>
            <w:shd w:val="clear" w:color="000000" w:fill="FFFFFF"/>
            <w:vAlign w:val="center"/>
          </w:tcPr>
          <w:p w14:paraId="0BD1A4F7">
            <w:pPr>
              <w:widowControl/>
              <w:jc w:val="left"/>
              <w:rPr>
                <w:rFonts w:ascii="仿宋_GB2312" w:hAnsi="宋体" w:eastAsia="仿宋_GB2312" w:cs="宋体"/>
                <w:bCs/>
                <w:kern w:val="0"/>
                <w:sz w:val="24"/>
                <w:szCs w:val="24"/>
              </w:rPr>
            </w:pPr>
            <w:r>
              <w:rPr>
                <w:rFonts w:ascii="仿宋_GB2312" w:hAnsi="宋体" w:eastAsia="仿宋_GB2312" w:cs="宋体"/>
                <w:bCs/>
                <w:kern w:val="0"/>
                <w:sz w:val="24"/>
                <w:szCs w:val="24"/>
              </w:rPr>
              <w:t>对</w:t>
            </w:r>
            <w:r>
              <w:rPr>
                <w:rFonts w:hint="eastAsia" w:ascii="仿宋_GB2312" w:hAnsi="宋体" w:eastAsia="仿宋_GB2312" w:cs="宋体"/>
                <w:bCs/>
                <w:kern w:val="0"/>
                <w:sz w:val="24"/>
                <w:szCs w:val="24"/>
              </w:rPr>
              <w:t>生产经营单位</w:t>
            </w:r>
            <w:r>
              <w:rPr>
                <w:rFonts w:ascii="仿宋_GB2312" w:hAnsi="宋体" w:eastAsia="仿宋_GB2312" w:cs="宋体"/>
                <w:bCs/>
                <w:kern w:val="0"/>
                <w:sz w:val="24"/>
                <w:szCs w:val="24"/>
              </w:rPr>
              <w:t>未按照规定配备注册安全工程师的行政处罚</w:t>
            </w:r>
          </w:p>
        </w:tc>
        <w:tc>
          <w:tcPr>
            <w:tcW w:w="2551" w:type="dxa"/>
            <w:tcBorders>
              <w:top w:val="single" w:color="auto" w:sz="4" w:space="0"/>
              <w:left w:val="single" w:color="auto" w:sz="4" w:space="0"/>
              <w:bottom w:val="single" w:color="auto" w:sz="4" w:space="0"/>
              <w:right w:val="single" w:color="auto" w:sz="4" w:space="0"/>
            </w:tcBorders>
            <w:shd w:val="clear" w:color="000000" w:fill="FFFFFF"/>
            <w:vAlign w:val="center"/>
          </w:tcPr>
          <w:p w14:paraId="15C6B3D2">
            <w:pPr>
              <w:widowControl/>
              <w:jc w:val="left"/>
              <w:rPr>
                <w:rFonts w:ascii="仿宋_GB2312" w:hAnsi="宋体" w:eastAsia="仿宋_GB2312" w:cs="宋体"/>
                <w:bCs/>
                <w:kern w:val="0"/>
                <w:sz w:val="24"/>
                <w:szCs w:val="24"/>
              </w:rPr>
            </w:pPr>
            <w:r>
              <w:rPr>
                <w:rFonts w:hint="eastAsia" w:ascii="仿宋_GB2312" w:hAnsi="宋体" w:eastAsia="仿宋_GB2312" w:cs="宋体"/>
                <w:bCs/>
                <w:kern w:val="0"/>
                <w:sz w:val="24"/>
                <w:szCs w:val="24"/>
              </w:rPr>
              <w:t>生产经营单位虽未</w:t>
            </w:r>
            <w:r>
              <w:rPr>
                <w:rFonts w:ascii="仿宋_GB2312" w:hAnsi="宋体" w:eastAsia="仿宋_GB2312" w:cs="宋体"/>
                <w:bCs/>
                <w:kern w:val="0"/>
                <w:sz w:val="24"/>
                <w:szCs w:val="24"/>
              </w:rPr>
              <w:t>按照规定规定配备注册安全工程师</w:t>
            </w:r>
            <w:r>
              <w:rPr>
                <w:rFonts w:hint="eastAsia" w:ascii="仿宋_GB2312" w:hAnsi="宋体" w:eastAsia="仿宋_GB2312" w:cs="宋体"/>
                <w:bCs/>
                <w:kern w:val="0"/>
                <w:sz w:val="24"/>
                <w:szCs w:val="24"/>
              </w:rPr>
              <w:t>，但已采取相应招聘措施</w:t>
            </w:r>
            <w:r>
              <w:rPr>
                <w:rFonts w:ascii="仿宋_GB2312" w:hAnsi="宋体" w:eastAsia="仿宋_GB2312" w:cs="宋体"/>
                <w:bCs/>
                <w:kern w:val="0"/>
                <w:sz w:val="24"/>
                <w:szCs w:val="24"/>
              </w:rPr>
              <w:t>的</w:t>
            </w:r>
            <w:r>
              <w:rPr>
                <w:rFonts w:hint="eastAsia" w:ascii="仿宋_GB2312" w:hAnsi="宋体" w:eastAsia="仿宋_GB2312" w:cs="宋体"/>
                <w:bCs/>
                <w:kern w:val="0"/>
                <w:sz w:val="24"/>
                <w:szCs w:val="24"/>
              </w:rPr>
              <w:t>。</w:t>
            </w:r>
          </w:p>
        </w:tc>
        <w:tc>
          <w:tcPr>
            <w:tcW w:w="5641" w:type="dxa"/>
            <w:tcBorders>
              <w:top w:val="single" w:color="auto" w:sz="4" w:space="0"/>
              <w:left w:val="single" w:color="auto" w:sz="4" w:space="0"/>
              <w:bottom w:val="single" w:color="auto" w:sz="4" w:space="0"/>
              <w:right w:val="single" w:color="auto" w:sz="4" w:space="0"/>
            </w:tcBorders>
            <w:shd w:val="clear" w:color="000000" w:fill="FFFFFF"/>
            <w:vAlign w:val="center"/>
          </w:tcPr>
          <w:p w14:paraId="5DC49FDE">
            <w:pPr>
              <w:shd w:val="clear" w:color="auto" w:fill="FFFFFF"/>
              <w:spacing w:line="360" w:lineRule="exact"/>
              <w:rPr>
                <w:rFonts w:ascii="Helvetica" w:hAnsi="Helvetica" w:eastAsia="宋体" w:cs="宋体"/>
                <w:color w:val="333333"/>
                <w:kern w:val="0"/>
                <w:szCs w:val="21"/>
              </w:rPr>
            </w:pPr>
            <w:r>
              <w:rPr>
                <w:rFonts w:hint="eastAsia" w:ascii="仿宋_GB2312" w:hAnsi="宋体" w:eastAsia="仿宋_GB2312" w:cs="宋体"/>
                <w:b/>
                <w:bCs/>
                <w:kern w:val="0"/>
                <w:sz w:val="24"/>
                <w:szCs w:val="24"/>
              </w:rPr>
              <w:t>1.</w:t>
            </w:r>
            <w:r>
              <w:rPr>
                <w:rFonts w:ascii="仿宋_GB2312" w:hAnsi="宋体" w:eastAsia="仿宋_GB2312" w:cs="宋体"/>
                <w:b/>
                <w:bCs/>
                <w:kern w:val="0"/>
                <w:sz w:val="24"/>
                <w:szCs w:val="24"/>
              </w:rPr>
              <w:t>《安全生产法》第九十</w:t>
            </w:r>
            <w:r>
              <w:rPr>
                <w:rFonts w:hint="eastAsia" w:ascii="仿宋_GB2312" w:hAnsi="宋体" w:eastAsia="仿宋_GB2312" w:cs="宋体"/>
                <w:b/>
                <w:bCs/>
                <w:kern w:val="0"/>
                <w:sz w:val="24"/>
                <w:szCs w:val="24"/>
              </w:rPr>
              <w:t>七</w:t>
            </w:r>
            <w:r>
              <w:rPr>
                <w:rFonts w:ascii="仿宋_GB2312" w:hAnsi="宋体" w:eastAsia="仿宋_GB2312" w:cs="宋体"/>
                <w:b/>
                <w:bCs/>
                <w:kern w:val="0"/>
                <w:sz w:val="24"/>
                <w:szCs w:val="24"/>
              </w:rPr>
              <w:t>条第一</w:t>
            </w:r>
            <w:r>
              <w:rPr>
                <w:rFonts w:hint="eastAsia" w:ascii="仿宋_GB2312" w:hAnsi="宋体" w:eastAsia="仿宋_GB2312" w:cs="宋体"/>
                <w:b/>
                <w:bCs/>
                <w:kern w:val="0"/>
                <w:sz w:val="24"/>
                <w:szCs w:val="24"/>
              </w:rPr>
              <w:t>项：</w:t>
            </w:r>
            <w:r>
              <w:rPr>
                <w:rFonts w:ascii="仿宋_GB2312" w:hAnsi="宋体" w:eastAsia="仿宋_GB2312" w:cs="宋体"/>
                <w:bCs/>
                <w:kern w:val="0"/>
                <w:sz w:val="24"/>
                <w:szCs w:val="24"/>
              </w:rPr>
              <w:t>生产经营单位有下列行为之一的，责令限期改正，处十万元以下的罚款；逾期未改正的，责令停产停业整顿，并处十万元以上二十万元以下的罚款， 对其直接负责的主管人员和其他直接责任人员处二万元以上五万元以下的罚款：（一）未按照规定设置安全生产管理机构或者配备安全生产管理人员、注册安全工程师的；</w:t>
            </w:r>
          </w:p>
          <w:p w14:paraId="708BBEE7">
            <w:pPr>
              <w:widowControl/>
              <w:spacing w:line="360" w:lineRule="exact"/>
              <w:jc w:val="lef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2.《中华人民共和国行政处罚法》第三十三条第一款</w:t>
            </w:r>
          </w:p>
        </w:tc>
      </w:tr>
      <w:tr w14:paraId="362B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2" w:hRule="atLeast"/>
        </w:trPr>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14:paraId="4FDA3ED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3</w:t>
            </w:r>
          </w:p>
        </w:tc>
        <w:tc>
          <w:tcPr>
            <w:tcW w:w="2269" w:type="dxa"/>
            <w:tcBorders>
              <w:top w:val="single" w:color="auto" w:sz="4" w:space="0"/>
              <w:left w:val="single" w:color="auto" w:sz="4" w:space="0"/>
              <w:bottom w:val="single" w:color="auto" w:sz="4" w:space="0"/>
              <w:right w:val="single" w:color="auto" w:sz="4" w:space="0"/>
            </w:tcBorders>
            <w:shd w:val="clear" w:color="000000" w:fill="FFFFFF"/>
            <w:vAlign w:val="center"/>
          </w:tcPr>
          <w:p w14:paraId="27F62C8C">
            <w:pPr>
              <w:widowControl/>
              <w:jc w:val="left"/>
              <w:rPr>
                <w:rFonts w:ascii="仿宋_GB2312" w:hAnsi="宋体" w:eastAsia="仿宋_GB2312" w:cs="宋体"/>
                <w:bCs/>
                <w:kern w:val="0"/>
                <w:sz w:val="24"/>
                <w:szCs w:val="24"/>
              </w:rPr>
            </w:pPr>
            <w:r>
              <w:rPr>
                <w:rFonts w:hint="eastAsia" w:ascii="仿宋_GB2312" w:hAnsi="Times New Roman" w:eastAsia="仿宋_GB2312" w:cs="Times New Roman"/>
                <w:bCs/>
                <w:sz w:val="24"/>
                <w:szCs w:val="24"/>
              </w:rPr>
              <w:t>对生产经营单位未如实记录安全生产教育和培训情况的行政处罚</w:t>
            </w:r>
          </w:p>
        </w:tc>
        <w:tc>
          <w:tcPr>
            <w:tcW w:w="2551" w:type="dxa"/>
            <w:tcBorders>
              <w:top w:val="single" w:color="auto" w:sz="4" w:space="0"/>
              <w:left w:val="single" w:color="auto" w:sz="4" w:space="0"/>
              <w:bottom w:val="single" w:color="auto" w:sz="4" w:space="0"/>
              <w:right w:val="single" w:color="auto" w:sz="4" w:space="0"/>
            </w:tcBorders>
            <w:shd w:val="clear" w:color="000000" w:fill="FFFFFF"/>
            <w:vAlign w:val="center"/>
          </w:tcPr>
          <w:p w14:paraId="746D6304">
            <w:pPr>
              <w:widowControl/>
              <w:jc w:val="left"/>
              <w:rPr>
                <w:rFonts w:ascii="仿宋_GB2312" w:hAnsi="宋体" w:eastAsia="仿宋_GB2312" w:cs="宋体"/>
                <w:bCs/>
                <w:kern w:val="0"/>
                <w:sz w:val="24"/>
                <w:szCs w:val="24"/>
              </w:rPr>
            </w:pPr>
            <w:r>
              <w:rPr>
                <w:rFonts w:hint="eastAsia" w:ascii="仿宋_GB2312" w:hAnsi="Times New Roman" w:eastAsia="仿宋_GB2312" w:cs="Times New Roman"/>
                <w:bCs/>
                <w:sz w:val="24"/>
                <w:szCs w:val="24"/>
              </w:rPr>
              <w:t>生产经营单位在应急管理部门发现违法行为之前，主动予以纠正的。</w:t>
            </w:r>
          </w:p>
        </w:tc>
        <w:tc>
          <w:tcPr>
            <w:tcW w:w="5641" w:type="dxa"/>
            <w:tcBorders>
              <w:top w:val="single" w:color="auto" w:sz="4" w:space="0"/>
              <w:left w:val="single" w:color="auto" w:sz="4" w:space="0"/>
              <w:bottom w:val="single" w:color="auto" w:sz="4" w:space="0"/>
              <w:right w:val="single" w:color="auto" w:sz="4" w:space="0"/>
            </w:tcBorders>
            <w:shd w:val="clear" w:color="000000" w:fill="FFFFFF"/>
            <w:vAlign w:val="center"/>
          </w:tcPr>
          <w:p w14:paraId="33F5F7A4">
            <w:pPr>
              <w:shd w:val="clear" w:color="auto" w:fill="FFFFFF"/>
              <w:spacing w:line="360" w:lineRule="exact"/>
              <w:rPr>
                <w:rFonts w:ascii="Helvetica" w:hAnsi="Helvetica" w:eastAsia="宋体" w:cs="宋体"/>
                <w:color w:val="333333"/>
                <w:kern w:val="0"/>
                <w:szCs w:val="21"/>
              </w:rPr>
            </w:pPr>
            <w:r>
              <w:rPr>
                <w:rFonts w:hint="eastAsia" w:ascii="仿宋_GB2312" w:hAnsi="宋体" w:eastAsia="仿宋_GB2312" w:cs="宋体"/>
                <w:b/>
                <w:bCs/>
                <w:kern w:val="0"/>
                <w:sz w:val="24"/>
                <w:szCs w:val="24"/>
              </w:rPr>
              <w:t>1.</w:t>
            </w:r>
            <w:r>
              <w:rPr>
                <w:rFonts w:ascii="仿宋_GB2312" w:hAnsi="宋体" w:eastAsia="仿宋_GB2312" w:cs="宋体"/>
                <w:b/>
                <w:bCs/>
                <w:kern w:val="0"/>
                <w:sz w:val="24"/>
                <w:szCs w:val="24"/>
              </w:rPr>
              <w:t>《安全生产法》第九十</w:t>
            </w:r>
            <w:r>
              <w:rPr>
                <w:rFonts w:hint="eastAsia" w:ascii="仿宋_GB2312" w:hAnsi="宋体" w:eastAsia="仿宋_GB2312" w:cs="宋体"/>
                <w:b/>
                <w:bCs/>
                <w:kern w:val="0"/>
                <w:sz w:val="24"/>
                <w:szCs w:val="24"/>
              </w:rPr>
              <w:t>七</w:t>
            </w:r>
            <w:r>
              <w:rPr>
                <w:rFonts w:ascii="仿宋_GB2312" w:hAnsi="宋体" w:eastAsia="仿宋_GB2312" w:cs="宋体"/>
                <w:b/>
                <w:bCs/>
                <w:kern w:val="0"/>
                <w:sz w:val="24"/>
                <w:szCs w:val="24"/>
              </w:rPr>
              <w:t>条第</w:t>
            </w:r>
            <w:r>
              <w:rPr>
                <w:rFonts w:hint="eastAsia" w:ascii="仿宋_GB2312" w:hAnsi="宋体" w:eastAsia="仿宋_GB2312" w:cs="宋体"/>
                <w:b/>
                <w:bCs/>
                <w:kern w:val="0"/>
                <w:sz w:val="24"/>
                <w:szCs w:val="24"/>
              </w:rPr>
              <w:t>四项：</w:t>
            </w:r>
            <w:r>
              <w:rPr>
                <w:rFonts w:ascii="仿宋_GB2312" w:hAnsi="宋体" w:eastAsia="仿宋_GB2312" w:cs="宋体"/>
                <w:bCs/>
                <w:kern w:val="0"/>
                <w:sz w:val="24"/>
                <w:szCs w:val="24"/>
              </w:rPr>
              <w:t>生产经营单位有下列行为之一的，责令限期改正，处十万元以下的罚款；逾期未改正的，责令停产停业整顿，并处十万元以上二十万元以下的罚款， 对其直接负责的主管人员和其他直接责任人员处二万元以上五万元以下的罚款：（四）未如实记录安全生产教育和培训情况的；</w:t>
            </w:r>
          </w:p>
          <w:p w14:paraId="5D48FE34">
            <w:pPr>
              <w:shd w:val="clear" w:color="auto" w:fill="FFFFFF"/>
              <w:spacing w:line="360" w:lineRule="exact"/>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2.《中华人民共和国行政处罚法》第三十三条第一款</w:t>
            </w:r>
          </w:p>
        </w:tc>
      </w:tr>
      <w:tr w14:paraId="7C17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14:paraId="41F49ECD">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4</w:t>
            </w:r>
          </w:p>
        </w:tc>
        <w:tc>
          <w:tcPr>
            <w:tcW w:w="2269" w:type="dxa"/>
            <w:tcBorders>
              <w:top w:val="single" w:color="auto" w:sz="4" w:space="0"/>
              <w:left w:val="single" w:color="auto" w:sz="4" w:space="0"/>
              <w:bottom w:val="single" w:color="auto" w:sz="4" w:space="0"/>
              <w:right w:val="single" w:color="auto" w:sz="4" w:space="0"/>
            </w:tcBorders>
            <w:shd w:val="clear" w:color="000000" w:fill="FFFFFF"/>
            <w:vAlign w:val="center"/>
          </w:tcPr>
          <w:p w14:paraId="3DD23281">
            <w:pPr>
              <w:widowControl/>
              <w:jc w:val="left"/>
              <w:rPr>
                <w:rFonts w:ascii="仿宋_GB2312" w:hAnsi="Times New Roman" w:eastAsia="仿宋_GB2312" w:cs="Times New Roman"/>
                <w:bCs/>
                <w:sz w:val="24"/>
                <w:szCs w:val="24"/>
              </w:rPr>
            </w:pPr>
            <w:r>
              <w:rPr>
                <w:rFonts w:ascii="仿宋_GB2312" w:hAnsi="Times New Roman" w:eastAsia="仿宋_GB2312" w:cs="Times New Roman"/>
                <w:bCs/>
                <w:sz w:val="24"/>
                <w:szCs w:val="24"/>
              </w:rPr>
              <w:t>对生产经营单位与从业人员订立协议，免除或者减轻其对从业人员因生产安全事故伤亡依法应承担的责任的行政处罚</w:t>
            </w:r>
          </w:p>
        </w:tc>
        <w:tc>
          <w:tcPr>
            <w:tcW w:w="2551" w:type="dxa"/>
            <w:tcBorders>
              <w:top w:val="single" w:color="auto" w:sz="4" w:space="0"/>
              <w:left w:val="single" w:color="auto" w:sz="4" w:space="0"/>
              <w:bottom w:val="single" w:color="auto" w:sz="4" w:space="0"/>
              <w:right w:val="single" w:color="auto" w:sz="4" w:space="0"/>
            </w:tcBorders>
            <w:shd w:val="clear" w:color="000000" w:fill="FFFFFF"/>
            <w:vAlign w:val="center"/>
          </w:tcPr>
          <w:p w14:paraId="3CD27187">
            <w:pPr>
              <w:widowControl/>
              <w:jc w:val="left"/>
              <w:rPr>
                <w:rFonts w:ascii="仿宋_GB2312" w:hAnsi="Times New Roman" w:eastAsia="仿宋_GB2312" w:cs="Times New Roman"/>
                <w:bCs/>
                <w:sz w:val="24"/>
                <w:szCs w:val="24"/>
              </w:rPr>
            </w:pPr>
            <w:r>
              <w:rPr>
                <w:rFonts w:hint="eastAsia" w:ascii="仿宋_GB2312" w:hAnsi="Times New Roman" w:eastAsia="仿宋_GB2312" w:cs="Times New Roman"/>
                <w:bCs/>
                <w:sz w:val="24"/>
                <w:szCs w:val="24"/>
              </w:rPr>
              <w:t>生产经营单位未依法</w:t>
            </w:r>
            <w:r>
              <w:rPr>
                <w:rFonts w:ascii="仿宋_GB2312" w:hAnsi="Times New Roman" w:eastAsia="仿宋_GB2312" w:cs="Times New Roman"/>
                <w:bCs/>
                <w:sz w:val="24"/>
                <w:szCs w:val="24"/>
              </w:rPr>
              <w:t>与从业人员订立协议</w:t>
            </w:r>
            <w:r>
              <w:rPr>
                <w:rFonts w:hint="eastAsia" w:ascii="仿宋_GB2312" w:hAnsi="Times New Roman" w:eastAsia="仿宋_GB2312" w:cs="Times New Roman"/>
                <w:bCs/>
                <w:sz w:val="24"/>
                <w:szCs w:val="24"/>
              </w:rPr>
              <w:t>，且发生生产安全事故后，但依法承担了</w:t>
            </w:r>
            <w:r>
              <w:rPr>
                <w:rFonts w:ascii="仿宋_GB2312" w:hAnsi="Times New Roman" w:eastAsia="仿宋_GB2312" w:cs="Times New Roman"/>
                <w:bCs/>
                <w:sz w:val="24"/>
                <w:szCs w:val="24"/>
              </w:rPr>
              <w:t>从业人员因生产安全事故</w:t>
            </w:r>
            <w:r>
              <w:rPr>
                <w:rFonts w:hint="eastAsia" w:ascii="仿宋_GB2312" w:hAnsi="Times New Roman" w:eastAsia="仿宋_GB2312" w:cs="Times New Roman"/>
                <w:bCs/>
                <w:sz w:val="24"/>
                <w:szCs w:val="24"/>
              </w:rPr>
              <w:t>的</w:t>
            </w:r>
            <w:r>
              <w:rPr>
                <w:rFonts w:ascii="仿宋_GB2312" w:hAnsi="Times New Roman" w:eastAsia="仿宋_GB2312" w:cs="Times New Roman"/>
                <w:bCs/>
                <w:sz w:val="24"/>
                <w:szCs w:val="24"/>
              </w:rPr>
              <w:t>伤亡责任</w:t>
            </w:r>
            <w:r>
              <w:rPr>
                <w:rFonts w:hint="eastAsia" w:ascii="仿宋_GB2312" w:hAnsi="Times New Roman" w:eastAsia="仿宋_GB2312" w:cs="Times New Roman"/>
                <w:bCs/>
                <w:sz w:val="24"/>
                <w:szCs w:val="24"/>
              </w:rPr>
              <w:t>，主动减轻危害后果的。</w:t>
            </w:r>
          </w:p>
        </w:tc>
        <w:tc>
          <w:tcPr>
            <w:tcW w:w="5641" w:type="dxa"/>
            <w:tcBorders>
              <w:top w:val="single" w:color="auto" w:sz="4" w:space="0"/>
              <w:left w:val="single" w:color="auto" w:sz="4" w:space="0"/>
              <w:bottom w:val="single" w:color="auto" w:sz="4" w:space="0"/>
              <w:right w:val="single" w:color="auto" w:sz="4" w:space="0"/>
            </w:tcBorders>
            <w:shd w:val="clear" w:color="000000" w:fill="FFFFFF"/>
            <w:vAlign w:val="center"/>
          </w:tcPr>
          <w:p w14:paraId="274E0988">
            <w:pPr>
              <w:spacing w:line="320" w:lineRule="exact"/>
              <w:ind w:left="10" w:right="1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w:t>
            </w:r>
            <w:r>
              <w:rPr>
                <w:rFonts w:ascii="仿宋_GB2312" w:hAnsi="宋体" w:eastAsia="仿宋_GB2312" w:cs="宋体"/>
                <w:b/>
                <w:bCs/>
                <w:kern w:val="0"/>
                <w:sz w:val="24"/>
                <w:szCs w:val="24"/>
              </w:rPr>
              <w:t>《中华人民共和国安全生产法》第一百零六条</w:t>
            </w:r>
            <w:r>
              <w:rPr>
                <w:rFonts w:hint="eastAsia" w:ascii="仿宋_GB2312" w:hAnsi="宋体" w:eastAsia="仿宋_GB2312" w:cs="宋体"/>
                <w:b/>
                <w:bCs/>
                <w:kern w:val="0"/>
                <w:sz w:val="24"/>
                <w:szCs w:val="24"/>
              </w:rPr>
              <w:t>：</w:t>
            </w:r>
            <w:r>
              <w:rPr>
                <w:rFonts w:ascii="仿宋_GB2312" w:hAnsi="Times New Roman" w:eastAsia="仿宋_GB2312" w:cs="Times New Roman"/>
                <w:bCs/>
                <w:sz w:val="24"/>
                <w:szCs w:val="24"/>
              </w:rPr>
              <w:t>生产经营单位与从业人员订立协议，免除或者减轻其对从业人员因生产安全事故伤亡依法应承担的责任的，该协议无效；对生产经营单位的主要负责人、个人经营的投资人处二万元以上十万元以下的罚款。</w:t>
            </w:r>
          </w:p>
          <w:p w14:paraId="07D42409">
            <w:pPr>
              <w:shd w:val="clear" w:color="auto" w:fill="FFFFFF"/>
              <w:spacing w:line="320" w:lineRule="exact"/>
              <w:rPr>
                <w:rFonts w:ascii="仿宋_GB2312" w:hAnsi="宋体" w:eastAsia="仿宋_GB2312" w:cs="宋体"/>
                <w:b/>
                <w:bCs/>
                <w:kern w:val="0"/>
                <w:sz w:val="24"/>
                <w:szCs w:val="24"/>
              </w:rPr>
            </w:pPr>
            <w:r>
              <w:rPr>
                <w:rFonts w:ascii="仿宋_GB2312" w:hAnsi="宋体" w:eastAsia="仿宋_GB2312" w:cs="宋体"/>
                <w:b/>
                <w:bCs/>
                <w:kern w:val="0"/>
                <w:sz w:val="24"/>
                <w:szCs w:val="24"/>
              </w:rPr>
              <w:t>2.《</w:t>
            </w:r>
            <w:r>
              <w:rPr>
                <w:rFonts w:hint="eastAsia" w:ascii="仿宋_GB2312" w:hAnsi="宋体" w:eastAsia="仿宋_GB2312" w:cs="宋体"/>
                <w:b/>
                <w:bCs/>
                <w:kern w:val="0"/>
                <w:sz w:val="24"/>
                <w:szCs w:val="24"/>
              </w:rPr>
              <w:t>中华人民共和国行政处罚法</w:t>
            </w:r>
            <w:r>
              <w:rPr>
                <w:rFonts w:ascii="仿宋_GB2312" w:hAnsi="宋体" w:eastAsia="仿宋_GB2312" w:cs="宋体"/>
                <w:b/>
                <w:bCs/>
                <w:kern w:val="0"/>
                <w:sz w:val="24"/>
                <w:szCs w:val="24"/>
              </w:rPr>
              <w:t>》第三十三条第一款</w:t>
            </w:r>
          </w:p>
        </w:tc>
      </w:tr>
      <w:tr w14:paraId="1CF09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9" w:hRule="atLeast"/>
        </w:trPr>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14:paraId="5B0E189B">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5</w:t>
            </w:r>
          </w:p>
        </w:tc>
        <w:tc>
          <w:tcPr>
            <w:tcW w:w="2269" w:type="dxa"/>
            <w:tcBorders>
              <w:top w:val="single" w:color="auto" w:sz="4" w:space="0"/>
              <w:left w:val="single" w:color="auto" w:sz="4" w:space="0"/>
              <w:bottom w:val="single" w:color="auto" w:sz="4" w:space="0"/>
              <w:right w:val="single" w:color="auto" w:sz="4" w:space="0"/>
            </w:tcBorders>
            <w:shd w:val="clear" w:color="000000" w:fill="FFFFFF"/>
            <w:vAlign w:val="center"/>
          </w:tcPr>
          <w:p w14:paraId="7FBCE803">
            <w:pPr>
              <w:widowControl/>
              <w:jc w:val="left"/>
              <w:rPr>
                <w:rFonts w:ascii="仿宋_GB2312" w:hAnsi="Times New Roman" w:eastAsia="仿宋_GB2312" w:cs="Times New Roman"/>
                <w:bCs/>
                <w:sz w:val="24"/>
                <w:szCs w:val="24"/>
              </w:rPr>
            </w:pPr>
            <w:r>
              <w:rPr>
                <w:rFonts w:ascii="仿宋_GB2312" w:hAnsi="Times New Roman" w:eastAsia="仿宋_GB2312" w:cs="Times New Roman"/>
                <w:bCs/>
                <w:sz w:val="24"/>
                <w:szCs w:val="24"/>
              </w:rPr>
              <w:t>对安全评价报告存在法规标准引用错误、关键危险有害因素漏项、重大危险源辨识错误、对策措施建议与存在问题严重不符等重大疏漏，但尚未造成重大损失的行政处罚</w:t>
            </w:r>
          </w:p>
        </w:tc>
        <w:tc>
          <w:tcPr>
            <w:tcW w:w="2551" w:type="dxa"/>
            <w:tcBorders>
              <w:top w:val="single" w:color="auto" w:sz="4" w:space="0"/>
              <w:left w:val="single" w:color="auto" w:sz="4" w:space="0"/>
              <w:bottom w:val="single" w:color="auto" w:sz="4" w:space="0"/>
              <w:right w:val="single" w:color="auto" w:sz="4" w:space="0"/>
            </w:tcBorders>
            <w:shd w:val="clear" w:color="000000" w:fill="FFFFFF"/>
            <w:vAlign w:val="center"/>
          </w:tcPr>
          <w:p w14:paraId="6CEABBA6">
            <w:pPr>
              <w:widowControl/>
              <w:jc w:val="left"/>
              <w:rPr>
                <w:rFonts w:ascii="仿宋_GB2312" w:hAnsi="Times New Roman" w:eastAsia="仿宋_GB2312" w:cs="Times New Roman"/>
                <w:bCs/>
                <w:sz w:val="24"/>
                <w:szCs w:val="24"/>
              </w:rPr>
            </w:pPr>
            <w:r>
              <w:rPr>
                <w:rFonts w:hint="eastAsia" w:ascii="仿宋_GB2312" w:hAnsi="Times New Roman" w:eastAsia="仿宋_GB2312" w:cs="Times New Roman"/>
                <w:bCs/>
                <w:sz w:val="24"/>
                <w:szCs w:val="24"/>
              </w:rPr>
              <w:t>相关机构在应急管理部门发现违法行为之前，主动予以纠正，但已造成一定危害后果的。</w:t>
            </w:r>
          </w:p>
        </w:tc>
        <w:tc>
          <w:tcPr>
            <w:tcW w:w="5641" w:type="dxa"/>
            <w:tcBorders>
              <w:top w:val="single" w:color="auto" w:sz="4" w:space="0"/>
              <w:left w:val="single" w:color="auto" w:sz="4" w:space="0"/>
              <w:bottom w:val="single" w:color="auto" w:sz="4" w:space="0"/>
              <w:right w:val="single" w:color="auto" w:sz="4" w:space="0"/>
            </w:tcBorders>
            <w:shd w:val="clear" w:color="000000" w:fill="FFFFFF"/>
            <w:vAlign w:val="center"/>
          </w:tcPr>
          <w:p w14:paraId="25F392E1">
            <w:pPr>
              <w:spacing w:line="320" w:lineRule="exact"/>
              <w:ind w:left="10" w:right="10"/>
              <w:rPr>
                <w:rFonts w:ascii="仿宋_GB2312" w:hAnsi="宋体" w:eastAsia="仿宋_GB2312" w:cs="宋体"/>
                <w:b/>
                <w:bCs/>
                <w:kern w:val="0"/>
                <w:sz w:val="24"/>
                <w:szCs w:val="24"/>
              </w:rPr>
            </w:pPr>
            <w:r>
              <w:rPr>
                <w:rFonts w:hint="eastAsia" w:ascii="仿宋_GB2312" w:hAnsi="宋体" w:eastAsia="仿宋_GB2312" w:cs="宋体"/>
                <w:b/>
                <w:bCs/>
                <w:kern w:val="0"/>
                <w:sz w:val="24"/>
                <w:szCs w:val="24"/>
              </w:rPr>
              <w:t>1.</w:t>
            </w:r>
            <w:r>
              <w:rPr>
                <w:rFonts w:ascii="仿宋_GB2312" w:hAnsi="宋体" w:eastAsia="仿宋_GB2312" w:cs="宋体"/>
                <w:b/>
                <w:bCs/>
                <w:kern w:val="0"/>
                <w:sz w:val="24"/>
                <w:szCs w:val="24"/>
              </w:rPr>
              <w:t>《安全评价检测检验机构管理办法》第三十条第十项</w:t>
            </w:r>
            <w:r>
              <w:rPr>
                <w:rFonts w:hint="eastAsia" w:ascii="仿宋_GB2312" w:hAnsi="宋体" w:eastAsia="仿宋_GB2312" w:cs="宋体"/>
                <w:b/>
                <w:bCs/>
                <w:kern w:val="0"/>
                <w:sz w:val="24"/>
                <w:szCs w:val="24"/>
              </w:rPr>
              <w:t>：</w:t>
            </w:r>
            <w:r>
              <w:rPr>
                <w:rFonts w:ascii="仿宋_GB2312" w:hAnsi="Times New Roman" w:eastAsia="仿宋_GB2312" w:cs="Times New Roman"/>
                <w:bCs/>
                <w:sz w:val="24"/>
                <w:szCs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十）安全评价报告存在法规标准引用错误、关键危险有害因素漏项、重大危险源辨识错误、对策措施建议与存在问题严重不符等重大疏漏，但尚未造成重大损失的；</w:t>
            </w:r>
          </w:p>
          <w:p w14:paraId="495E6CBB">
            <w:pPr>
              <w:shd w:val="clear" w:color="auto" w:fill="FFFFFF"/>
              <w:spacing w:line="320" w:lineRule="exact"/>
              <w:rPr>
                <w:rFonts w:ascii="仿宋_GB2312" w:hAnsi="宋体" w:eastAsia="仿宋_GB2312" w:cs="宋体"/>
                <w:b/>
                <w:bCs/>
                <w:kern w:val="0"/>
                <w:sz w:val="24"/>
                <w:szCs w:val="24"/>
              </w:rPr>
            </w:pPr>
            <w:r>
              <w:rPr>
                <w:rFonts w:ascii="仿宋_GB2312" w:hAnsi="宋体" w:eastAsia="仿宋_GB2312" w:cs="宋体"/>
                <w:b/>
                <w:bCs/>
                <w:kern w:val="0"/>
                <w:sz w:val="24"/>
                <w:szCs w:val="24"/>
              </w:rPr>
              <w:t>2.《</w:t>
            </w:r>
            <w:r>
              <w:rPr>
                <w:rFonts w:hint="eastAsia" w:ascii="仿宋_GB2312" w:hAnsi="宋体" w:eastAsia="仿宋_GB2312" w:cs="宋体"/>
                <w:b/>
                <w:bCs/>
                <w:kern w:val="0"/>
                <w:sz w:val="24"/>
                <w:szCs w:val="24"/>
              </w:rPr>
              <w:t>中华人民共和国行政处罚法</w:t>
            </w:r>
            <w:r>
              <w:rPr>
                <w:rFonts w:ascii="仿宋_GB2312" w:hAnsi="宋体" w:eastAsia="仿宋_GB2312" w:cs="宋体"/>
                <w:b/>
                <w:bCs/>
                <w:kern w:val="0"/>
                <w:sz w:val="24"/>
                <w:szCs w:val="24"/>
              </w:rPr>
              <w:t>》第三十三条第一款</w:t>
            </w:r>
          </w:p>
        </w:tc>
      </w:tr>
      <w:tr w14:paraId="3307C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0" w:hRule="atLeast"/>
        </w:trPr>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14:paraId="3437E254">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6</w:t>
            </w:r>
          </w:p>
        </w:tc>
        <w:tc>
          <w:tcPr>
            <w:tcW w:w="2269" w:type="dxa"/>
            <w:tcBorders>
              <w:top w:val="single" w:color="auto" w:sz="4" w:space="0"/>
              <w:left w:val="single" w:color="auto" w:sz="4" w:space="0"/>
              <w:bottom w:val="single" w:color="auto" w:sz="4" w:space="0"/>
              <w:right w:val="single" w:color="auto" w:sz="4" w:space="0"/>
            </w:tcBorders>
            <w:shd w:val="clear" w:color="000000" w:fill="FFFFFF"/>
            <w:vAlign w:val="center"/>
          </w:tcPr>
          <w:p w14:paraId="0EF50BCE">
            <w:pPr>
              <w:widowControl/>
              <w:jc w:val="left"/>
              <w:rPr>
                <w:rFonts w:ascii="仿宋_GB2312" w:hAnsi="Times New Roman" w:eastAsia="仿宋_GB2312" w:cs="Times New Roman"/>
                <w:bCs/>
                <w:sz w:val="24"/>
                <w:szCs w:val="24"/>
              </w:rPr>
            </w:pPr>
            <w:r>
              <w:rPr>
                <w:rFonts w:ascii="仿宋_GB2312" w:hAnsi="Times New Roman" w:eastAsia="仿宋_GB2312" w:cs="Times New Roman"/>
                <w:bCs/>
                <w:sz w:val="24"/>
                <w:szCs w:val="24"/>
              </w:rPr>
              <w:t>对安全生产检测检验报告存在法规标准引用错误、关键项目漏检、结论不明确等重大疏漏，但尚未造成重大损失的行政处罚</w:t>
            </w:r>
          </w:p>
        </w:tc>
        <w:tc>
          <w:tcPr>
            <w:tcW w:w="2551" w:type="dxa"/>
            <w:tcBorders>
              <w:top w:val="single" w:color="auto" w:sz="4" w:space="0"/>
              <w:left w:val="single" w:color="auto" w:sz="4" w:space="0"/>
              <w:bottom w:val="single" w:color="auto" w:sz="4" w:space="0"/>
              <w:right w:val="single" w:color="auto" w:sz="4" w:space="0"/>
            </w:tcBorders>
            <w:shd w:val="clear" w:color="000000" w:fill="FFFFFF"/>
            <w:vAlign w:val="center"/>
          </w:tcPr>
          <w:p w14:paraId="5B2D18B8">
            <w:pPr>
              <w:widowControl/>
              <w:jc w:val="left"/>
              <w:rPr>
                <w:rFonts w:ascii="仿宋_GB2312" w:hAnsi="Times New Roman" w:eastAsia="仿宋_GB2312" w:cs="Times New Roman"/>
                <w:bCs/>
                <w:sz w:val="24"/>
                <w:szCs w:val="24"/>
              </w:rPr>
            </w:pPr>
            <w:r>
              <w:rPr>
                <w:rFonts w:hint="eastAsia" w:ascii="仿宋_GB2312" w:hAnsi="Times New Roman" w:eastAsia="仿宋_GB2312" w:cs="Times New Roman"/>
                <w:bCs/>
                <w:sz w:val="24"/>
                <w:szCs w:val="24"/>
              </w:rPr>
              <w:t>相关机构在应急管理部门发现违法行为之前，主动予以纠正，但已造成一定危害后果的。</w:t>
            </w:r>
          </w:p>
        </w:tc>
        <w:tc>
          <w:tcPr>
            <w:tcW w:w="5641" w:type="dxa"/>
            <w:tcBorders>
              <w:top w:val="single" w:color="auto" w:sz="4" w:space="0"/>
              <w:left w:val="single" w:color="auto" w:sz="4" w:space="0"/>
              <w:bottom w:val="single" w:color="auto" w:sz="4" w:space="0"/>
              <w:right w:val="single" w:color="auto" w:sz="4" w:space="0"/>
            </w:tcBorders>
            <w:shd w:val="clear" w:color="000000" w:fill="FFFFFF"/>
            <w:vAlign w:val="center"/>
          </w:tcPr>
          <w:p w14:paraId="535C0BBC">
            <w:pPr>
              <w:shd w:val="clear" w:color="auto" w:fill="FFFFFF"/>
              <w:spacing w:line="320" w:lineRule="exact"/>
              <w:rPr>
                <w:rFonts w:ascii="Helvetica" w:hAnsi="Helvetica"/>
                <w:color w:val="333333"/>
                <w:szCs w:val="21"/>
                <w:shd w:val="clear" w:color="auto" w:fill="FFFFFF"/>
              </w:rPr>
            </w:pPr>
            <w:r>
              <w:rPr>
                <w:rFonts w:hint="eastAsia" w:ascii="仿宋_GB2312" w:hAnsi="宋体" w:eastAsia="仿宋_GB2312" w:cs="宋体"/>
                <w:b/>
                <w:bCs/>
                <w:kern w:val="0"/>
                <w:sz w:val="24"/>
                <w:szCs w:val="24"/>
              </w:rPr>
              <w:t>1.</w:t>
            </w:r>
            <w:r>
              <w:rPr>
                <w:rFonts w:ascii="仿宋_GB2312" w:hAnsi="宋体" w:eastAsia="仿宋_GB2312" w:cs="宋体"/>
                <w:b/>
                <w:bCs/>
                <w:kern w:val="0"/>
                <w:sz w:val="24"/>
                <w:szCs w:val="24"/>
              </w:rPr>
              <w:t>《安全评价检测检验机构管理办法》第三十条第十一项</w:t>
            </w:r>
            <w:r>
              <w:rPr>
                <w:rFonts w:hint="eastAsia" w:ascii="仿宋_GB2312" w:hAnsi="宋体" w:eastAsia="仿宋_GB2312" w:cs="宋体"/>
                <w:b/>
                <w:bCs/>
                <w:kern w:val="0"/>
                <w:sz w:val="24"/>
                <w:szCs w:val="24"/>
              </w:rPr>
              <w:t>；</w:t>
            </w:r>
            <w:r>
              <w:rPr>
                <w:rFonts w:ascii="仿宋_GB2312" w:hAnsi="Times New Roman" w:eastAsia="仿宋_GB2312" w:cs="Times New Roman"/>
                <w:bCs/>
                <w:sz w:val="24"/>
                <w:szCs w:val="24"/>
              </w:rPr>
              <w:t>安全评价检测检验机构有下列情形之一的，责令改正或者责令限期改正，给予警告，可以并处一万元以下的罚款；逾期未改正的，处一万元以上三万元以下的罚款，对相关责任人处一千元以上五千元以下的罚款；情节严重的，处一万元以上三万元以下的罚款，对相关责任人处五千元以上一万元以下的罚款：（十一）安全生产检测检验报告存在法规标准引用错误、关键项目漏检、结论不明确等重大疏漏，但尚未造成重大损失的。</w:t>
            </w:r>
          </w:p>
          <w:p w14:paraId="3C41A9AF">
            <w:pPr>
              <w:shd w:val="clear" w:color="auto" w:fill="FFFFFF"/>
              <w:spacing w:line="320" w:lineRule="exact"/>
              <w:rPr>
                <w:rFonts w:ascii="仿宋_GB2312" w:hAnsi="Times New Roman" w:eastAsia="仿宋_GB2312" w:cs="Times New Roman"/>
                <w:bCs/>
                <w:sz w:val="24"/>
                <w:szCs w:val="24"/>
              </w:rPr>
            </w:pPr>
            <w:r>
              <w:rPr>
                <w:rFonts w:ascii="仿宋_GB2312" w:hAnsi="宋体" w:eastAsia="仿宋_GB2312" w:cs="宋体"/>
                <w:b/>
                <w:bCs/>
                <w:kern w:val="0"/>
                <w:sz w:val="24"/>
                <w:szCs w:val="24"/>
              </w:rPr>
              <w:t>2.《</w:t>
            </w:r>
            <w:r>
              <w:rPr>
                <w:rFonts w:hint="eastAsia" w:ascii="仿宋_GB2312" w:hAnsi="宋体" w:eastAsia="仿宋_GB2312" w:cs="宋体"/>
                <w:b/>
                <w:bCs/>
                <w:kern w:val="0"/>
                <w:sz w:val="24"/>
                <w:szCs w:val="24"/>
              </w:rPr>
              <w:t>中华人民共和国行政处罚法</w:t>
            </w:r>
            <w:r>
              <w:rPr>
                <w:rFonts w:ascii="仿宋_GB2312" w:hAnsi="宋体" w:eastAsia="仿宋_GB2312" w:cs="宋体"/>
                <w:b/>
                <w:bCs/>
                <w:kern w:val="0"/>
                <w:sz w:val="24"/>
                <w:szCs w:val="24"/>
              </w:rPr>
              <w:t>》第三十三条第一款</w:t>
            </w:r>
          </w:p>
        </w:tc>
      </w:tr>
      <w:tr w14:paraId="62D64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851" w:type="dxa"/>
            <w:tcBorders>
              <w:top w:val="single" w:color="auto" w:sz="4" w:space="0"/>
              <w:left w:val="single" w:color="auto" w:sz="4" w:space="0"/>
              <w:bottom w:val="single" w:color="auto" w:sz="4" w:space="0"/>
              <w:right w:val="single" w:color="auto" w:sz="4" w:space="0"/>
            </w:tcBorders>
            <w:shd w:val="clear" w:color="000000" w:fill="FFFFFF"/>
            <w:vAlign w:val="center"/>
          </w:tcPr>
          <w:p w14:paraId="535BF2CE">
            <w:pPr>
              <w:widowControl/>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7</w:t>
            </w:r>
          </w:p>
        </w:tc>
        <w:tc>
          <w:tcPr>
            <w:tcW w:w="2269" w:type="dxa"/>
            <w:tcBorders>
              <w:top w:val="single" w:color="auto" w:sz="4" w:space="0"/>
              <w:left w:val="single" w:color="auto" w:sz="4" w:space="0"/>
              <w:bottom w:val="single" w:color="auto" w:sz="4" w:space="0"/>
              <w:right w:val="single" w:color="auto" w:sz="4" w:space="0"/>
            </w:tcBorders>
            <w:shd w:val="clear" w:color="000000" w:fill="FFFFFF"/>
            <w:vAlign w:val="center"/>
          </w:tcPr>
          <w:p w14:paraId="6E917878">
            <w:pPr>
              <w:widowControl/>
              <w:jc w:val="left"/>
              <w:rPr>
                <w:rFonts w:ascii="仿宋_GB2312" w:hAnsi="Times New Roman" w:eastAsia="仿宋_GB2312" w:cs="Times New Roman"/>
                <w:bCs/>
                <w:sz w:val="24"/>
                <w:szCs w:val="24"/>
              </w:rPr>
            </w:pPr>
            <w:r>
              <w:rPr>
                <w:rFonts w:hint="eastAsia" w:ascii="仿宋_GB2312" w:hAnsi="Times New Roman" w:eastAsia="仿宋_GB2312" w:cs="Times New Roman"/>
                <w:bCs/>
                <w:sz w:val="24"/>
                <w:szCs w:val="24"/>
              </w:rPr>
              <w:t>对从业人员进行安全培训期间未支付工资并承担安全培训费用的行政处罚</w:t>
            </w:r>
          </w:p>
        </w:tc>
        <w:tc>
          <w:tcPr>
            <w:tcW w:w="2551" w:type="dxa"/>
            <w:tcBorders>
              <w:top w:val="single" w:color="auto" w:sz="4" w:space="0"/>
              <w:left w:val="single" w:color="auto" w:sz="4" w:space="0"/>
              <w:bottom w:val="single" w:color="auto" w:sz="4" w:space="0"/>
              <w:right w:val="single" w:color="auto" w:sz="4" w:space="0"/>
            </w:tcBorders>
            <w:shd w:val="clear" w:color="000000" w:fill="FFFFFF"/>
            <w:vAlign w:val="center"/>
          </w:tcPr>
          <w:p w14:paraId="7047FDCA">
            <w:pPr>
              <w:widowControl/>
              <w:jc w:val="left"/>
              <w:rPr>
                <w:rFonts w:ascii="仿宋_GB2312" w:hAnsi="Times New Roman" w:eastAsia="仿宋_GB2312" w:cs="Times New Roman"/>
                <w:bCs/>
                <w:sz w:val="24"/>
                <w:szCs w:val="24"/>
              </w:rPr>
            </w:pPr>
            <w:r>
              <w:rPr>
                <w:rFonts w:hint="eastAsia" w:ascii="仿宋_GB2312" w:hAnsi="Times New Roman" w:eastAsia="仿宋_GB2312" w:cs="Times New Roman"/>
                <w:bCs/>
                <w:sz w:val="24"/>
                <w:szCs w:val="24"/>
              </w:rPr>
              <w:t>生产经营单位在应急管理部门发现违法行为之前，主动予以纠正的。</w:t>
            </w:r>
          </w:p>
        </w:tc>
        <w:tc>
          <w:tcPr>
            <w:tcW w:w="5641" w:type="dxa"/>
            <w:tcBorders>
              <w:top w:val="single" w:color="auto" w:sz="4" w:space="0"/>
              <w:left w:val="single" w:color="auto" w:sz="4" w:space="0"/>
              <w:bottom w:val="single" w:color="auto" w:sz="4" w:space="0"/>
              <w:right w:val="single" w:color="auto" w:sz="4" w:space="0"/>
            </w:tcBorders>
            <w:shd w:val="clear" w:color="000000" w:fill="FFFFFF"/>
            <w:vAlign w:val="center"/>
          </w:tcPr>
          <w:p w14:paraId="2BD04D25">
            <w:pPr>
              <w:shd w:val="clear" w:color="auto" w:fill="FFFFFF"/>
              <w:spacing w:line="320" w:lineRule="exact"/>
              <w:rPr>
                <w:rFonts w:ascii="Helvetica" w:hAnsi="Helvetica" w:eastAsia="宋体" w:cs="宋体"/>
                <w:color w:val="333333"/>
                <w:kern w:val="0"/>
                <w:sz w:val="24"/>
                <w:szCs w:val="24"/>
              </w:rPr>
            </w:pPr>
            <w:r>
              <w:rPr>
                <w:rFonts w:hint="eastAsia" w:ascii="仿宋_GB2312" w:hAnsi="宋体" w:eastAsia="仿宋_GB2312" w:cs="宋体"/>
                <w:b/>
                <w:bCs/>
                <w:kern w:val="0"/>
                <w:sz w:val="24"/>
                <w:szCs w:val="24"/>
              </w:rPr>
              <w:t>1.</w:t>
            </w:r>
            <w:r>
              <w:rPr>
                <w:rFonts w:ascii="仿宋_GB2312" w:hAnsi="宋体" w:eastAsia="仿宋_GB2312" w:cs="宋体"/>
                <w:b/>
                <w:bCs/>
                <w:kern w:val="0"/>
                <w:sz w:val="24"/>
                <w:szCs w:val="24"/>
              </w:rPr>
              <w:t>《安全评价检测检验机构管理办法》第二十九</w:t>
            </w:r>
            <w:r>
              <w:rPr>
                <w:rFonts w:hint="eastAsia" w:ascii="仿宋_GB2312" w:hAnsi="宋体" w:eastAsia="仿宋_GB2312" w:cs="宋体"/>
                <w:b/>
                <w:bCs/>
                <w:kern w:val="0"/>
                <w:sz w:val="24"/>
                <w:szCs w:val="24"/>
              </w:rPr>
              <w:t>条：</w:t>
            </w:r>
            <w:r>
              <w:rPr>
                <w:rFonts w:hint="eastAsia" w:ascii="仿宋_GB2312" w:hAnsi="Helvetica" w:eastAsia="仿宋_GB2312" w:cs="宋体"/>
                <w:kern w:val="0"/>
                <w:sz w:val="24"/>
                <w:szCs w:val="24"/>
              </w:rPr>
              <w:t>未取得资质的机构及其有关人员擅自从事安全评价、检测检验服务的，责令立即停止违法行为，依照下列规定给予处罚：（一）机构有违法所得的，没收其违法所得，并处违法所得一倍以上三倍以下的罚款，但最高不得超过三万元；没有违法所得的，处五千元以上一万元以下的罚款；（二）有关人员处五千元以上一万元以下的罚款。对有前款违法行为的机构及其人员，由资质认可机关记入有关机构和人员的信用记录，并依照有关规定予以公告。</w:t>
            </w:r>
          </w:p>
          <w:p w14:paraId="31E81113">
            <w:pPr>
              <w:shd w:val="clear" w:color="auto" w:fill="FFFFFF"/>
              <w:spacing w:line="320" w:lineRule="exact"/>
              <w:rPr>
                <w:rFonts w:ascii="仿宋_GB2312" w:hAnsi="宋体" w:eastAsia="仿宋_GB2312" w:cs="宋体"/>
                <w:b/>
                <w:bCs/>
                <w:kern w:val="0"/>
                <w:sz w:val="24"/>
                <w:szCs w:val="24"/>
              </w:rPr>
            </w:pPr>
            <w:r>
              <w:rPr>
                <w:rFonts w:ascii="仿宋_GB2312" w:hAnsi="宋体" w:eastAsia="仿宋_GB2312" w:cs="宋体"/>
                <w:b/>
                <w:bCs/>
                <w:kern w:val="0"/>
                <w:sz w:val="24"/>
                <w:szCs w:val="24"/>
              </w:rPr>
              <w:t>2.《</w:t>
            </w:r>
            <w:r>
              <w:rPr>
                <w:rFonts w:hint="eastAsia" w:ascii="仿宋_GB2312" w:hAnsi="宋体" w:eastAsia="仿宋_GB2312" w:cs="宋体"/>
                <w:b/>
                <w:bCs/>
                <w:kern w:val="0"/>
                <w:sz w:val="24"/>
                <w:szCs w:val="24"/>
              </w:rPr>
              <w:t>中华人民共和国行政处罚法</w:t>
            </w:r>
            <w:r>
              <w:rPr>
                <w:rFonts w:ascii="仿宋_GB2312" w:hAnsi="宋体" w:eastAsia="仿宋_GB2312" w:cs="宋体"/>
                <w:b/>
                <w:bCs/>
                <w:kern w:val="0"/>
                <w:sz w:val="24"/>
                <w:szCs w:val="24"/>
              </w:rPr>
              <w:t>》第三十三条第一款</w:t>
            </w:r>
          </w:p>
        </w:tc>
      </w:tr>
    </w:tbl>
    <w:p w14:paraId="287E882B">
      <w:pPr>
        <w:widowControl/>
        <w:jc w:val="left"/>
        <w:rPr>
          <w:rFonts w:ascii="仿宋_GB2312" w:hAnsi="微软雅黑" w:eastAsia="仿宋_GB2312" w:cs="宋体"/>
          <w:kern w:val="0"/>
          <w:sz w:val="32"/>
          <w:szCs w:val="32"/>
          <w:shd w:val="clear" w:color="auto" w:fill="FFFFFF"/>
        </w:rPr>
      </w:pPr>
    </w:p>
    <w:p w14:paraId="1E5902AF">
      <w:pPr>
        <w:widowControl/>
        <w:jc w:val="left"/>
        <w:rPr>
          <w:rFonts w:ascii="仿宋_GB2312" w:hAnsi="微软雅黑" w:eastAsia="仿宋_GB2312" w:cs="宋体"/>
          <w:kern w:val="0"/>
          <w:sz w:val="32"/>
          <w:szCs w:val="32"/>
          <w:shd w:val="clear" w:color="auto" w:fill="FFFFFF"/>
        </w:rPr>
      </w:pPr>
      <w:r>
        <w:rPr>
          <w:rFonts w:hint="eastAsia" w:ascii="仿宋_GB2312" w:hAnsi="微软雅黑" w:eastAsia="仿宋_GB2312" w:cs="宋体"/>
          <w:kern w:val="0"/>
          <w:sz w:val="32"/>
          <w:szCs w:val="32"/>
          <w:shd w:val="clear" w:color="auto" w:fill="FFFFFF"/>
        </w:rPr>
        <w:t>三、免于行政强制事项清单：</w:t>
      </w:r>
    </w:p>
    <w:p w14:paraId="40492076">
      <w:pPr>
        <w:widowControl/>
        <w:jc w:val="left"/>
        <w:rPr>
          <w:rFonts w:ascii="仿宋_GB2312" w:hAnsi="微软雅黑" w:eastAsia="仿宋_GB2312" w:cs="宋体"/>
          <w:kern w:val="0"/>
          <w:sz w:val="32"/>
          <w:szCs w:val="32"/>
          <w:shd w:val="clear" w:color="auto" w:fill="FFFFFF"/>
        </w:rPr>
      </w:pPr>
    </w:p>
    <w:p w14:paraId="5B0B8BBC">
      <w:pPr>
        <w:jc w:val="center"/>
        <w:rPr>
          <w:rFonts w:ascii="黑体" w:hAnsi="黑体" w:eastAsia="黑体"/>
          <w:sz w:val="32"/>
          <w:szCs w:val="32"/>
          <w:shd w:val="clear" w:color="auto" w:fill="FFFFFF"/>
        </w:rPr>
      </w:pPr>
      <w:r>
        <w:rPr>
          <w:rFonts w:hint="eastAsia" w:ascii="黑体" w:hAnsi="黑体" w:eastAsia="黑体"/>
          <w:sz w:val="32"/>
          <w:szCs w:val="32"/>
          <w:shd w:val="clear" w:color="auto" w:fill="FFFFFF"/>
        </w:rPr>
        <w:t>广水市安全生产领域轻微违法行为免予行政强制清单</w:t>
      </w:r>
    </w:p>
    <w:tbl>
      <w:tblPr>
        <w:tblStyle w:val="5"/>
        <w:tblW w:w="11312" w:type="dxa"/>
        <w:tblInd w:w="-14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1"/>
        <w:gridCol w:w="2269"/>
        <w:gridCol w:w="2551"/>
        <w:gridCol w:w="5641"/>
      </w:tblGrid>
      <w:tr w14:paraId="31380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851" w:type="dxa"/>
            <w:shd w:val="clear" w:color="000000" w:fill="FFFFFF"/>
            <w:vAlign w:val="center"/>
          </w:tcPr>
          <w:p w14:paraId="19560AAF">
            <w:pPr>
              <w:widowControl/>
              <w:jc w:val="center"/>
              <w:rPr>
                <w:rFonts w:ascii="黑体" w:hAnsi="黑体" w:eastAsia="黑体" w:cs="宋体"/>
                <w:kern w:val="0"/>
                <w:sz w:val="28"/>
                <w:szCs w:val="28"/>
              </w:rPr>
            </w:pPr>
            <w:r>
              <w:rPr>
                <w:rFonts w:hint="eastAsia" w:ascii="黑体" w:hAnsi="黑体" w:eastAsia="黑体" w:cs="宋体"/>
                <w:kern w:val="0"/>
                <w:sz w:val="28"/>
                <w:szCs w:val="28"/>
              </w:rPr>
              <w:t>序号</w:t>
            </w:r>
          </w:p>
        </w:tc>
        <w:tc>
          <w:tcPr>
            <w:tcW w:w="2269" w:type="dxa"/>
            <w:shd w:val="clear" w:color="000000" w:fill="FFFFFF"/>
            <w:vAlign w:val="center"/>
          </w:tcPr>
          <w:p w14:paraId="254D913A">
            <w:pPr>
              <w:widowControl/>
              <w:jc w:val="center"/>
              <w:rPr>
                <w:rFonts w:ascii="黑体" w:hAnsi="黑体" w:eastAsia="黑体" w:cs="宋体"/>
                <w:kern w:val="0"/>
                <w:sz w:val="28"/>
                <w:szCs w:val="28"/>
              </w:rPr>
            </w:pPr>
            <w:r>
              <w:rPr>
                <w:rFonts w:hint="eastAsia" w:ascii="黑体" w:hAnsi="黑体" w:eastAsia="黑体" w:cs="宋体"/>
                <w:kern w:val="0"/>
                <w:sz w:val="28"/>
                <w:szCs w:val="28"/>
              </w:rPr>
              <w:t>违法行为种类</w:t>
            </w:r>
          </w:p>
        </w:tc>
        <w:tc>
          <w:tcPr>
            <w:tcW w:w="2551" w:type="dxa"/>
            <w:shd w:val="clear" w:color="000000" w:fill="FFFFFF"/>
            <w:vAlign w:val="center"/>
          </w:tcPr>
          <w:p w14:paraId="52410978">
            <w:pPr>
              <w:widowControl/>
              <w:jc w:val="center"/>
              <w:rPr>
                <w:rFonts w:ascii="黑体" w:hAnsi="黑体" w:eastAsia="黑体" w:cs="宋体"/>
                <w:kern w:val="0"/>
                <w:sz w:val="28"/>
                <w:szCs w:val="28"/>
              </w:rPr>
            </w:pPr>
            <w:r>
              <w:rPr>
                <w:rFonts w:hint="eastAsia" w:ascii="黑体" w:hAnsi="黑体" w:eastAsia="黑体" w:cs="黑体"/>
                <w:bCs/>
                <w:color w:val="000000"/>
                <w:kern w:val="0"/>
                <w:sz w:val="28"/>
                <w:szCs w:val="28"/>
              </w:rPr>
              <w:t>免予行政强制适用条件</w:t>
            </w:r>
          </w:p>
        </w:tc>
        <w:tc>
          <w:tcPr>
            <w:tcW w:w="5641" w:type="dxa"/>
            <w:shd w:val="clear" w:color="000000" w:fill="FFFFFF"/>
            <w:vAlign w:val="center"/>
          </w:tcPr>
          <w:p w14:paraId="0C31AB52">
            <w:pPr>
              <w:widowControl/>
              <w:jc w:val="center"/>
              <w:rPr>
                <w:rFonts w:ascii="黑体" w:hAnsi="黑体" w:eastAsia="黑体" w:cs="宋体"/>
                <w:kern w:val="0"/>
                <w:sz w:val="28"/>
                <w:szCs w:val="28"/>
              </w:rPr>
            </w:pPr>
            <w:r>
              <w:rPr>
                <w:rFonts w:hint="eastAsia" w:ascii="黑体" w:hAnsi="黑体" w:eastAsia="黑体" w:cs="宋体"/>
                <w:kern w:val="0"/>
                <w:sz w:val="28"/>
                <w:szCs w:val="28"/>
              </w:rPr>
              <w:t>相应法律依据</w:t>
            </w:r>
          </w:p>
        </w:tc>
      </w:tr>
      <w:tr w14:paraId="400EF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6" w:hRule="atLeast"/>
        </w:trPr>
        <w:tc>
          <w:tcPr>
            <w:tcW w:w="851" w:type="dxa"/>
            <w:shd w:val="clear" w:color="000000" w:fill="FFFFFF"/>
            <w:vAlign w:val="center"/>
          </w:tcPr>
          <w:p w14:paraId="5E89770C">
            <w:pPr>
              <w:jc w:val="center"/>
              <w:rPr>
                <w:rFonts w:ascii="仿宋_GB2312" w:eastAsia="仿宋_GB2312"/>
                <w:sz w:val="24"/>
                <w:szCs w:val="24"/>
              </w:rPr>
            </w:pPr>
            <w:r>
              <w:rPr>
                <w:rFonts w:hint="eastAsia" w:ascii="仿宋_GB2312" w:eastAsia="仿宋_GB2312"/>
                <w:sz w:val="24"/>
                <w:szCs w:val="24"/>
              </w:rPr>
              <w:t>1</w:t>
            </w:r>
          </w:p>
        </w:tc>
        <w:tc>
          <w:tcPr>
            <w:tcW w:w="2269" w:type="dxa"/>
            <w:shd w:val="clear" w:color="000000" w:fill="FFFFFF"/>
            <w:vAlign w:val="center"/>
          </w:tcPr>
          <w:p w14:paraId="1E24240F">
            <w:pPr>
              <w:jc w:val="left"/>
              <w:rPr>
                <w:rFonts w:ascii="仿宋_GB2312" w:eastAsia="仿宋_GB2312"/>
                <w:sz w:val="24"/>
                <w:szCs w:val="24"/>
              </w:rPr>
            </w:pPr>
            <w:r>
              <w:rPr>
                <w:rFonts w:hint="eastAsia" w:ascii="仿宋_GB2312" w:eastAsia="仿宋_GB2312"/>
                <w:sz w:val="24"/>
                <w:szCs w:val="24"/>
              </w:rPr>
              <w:t>采取通知有关单位停止供电、停止供应民用爆炸物品等措施，强制生产经营单位履行决定</w:t>
            </w:r>
          </w:p>
        </w:tc>
        <w:tc>
          <w:tcPr>
            <w:tcW w:w="2551" w:type="dxa"/>
            <w:shd w:val="clear" w:color="000000" w:fill="FFFFFF"/>
            <w:vAlign w:val="center"/>
          </w:tcPr>
          <w:p w14:paraId="487CAFF1">
            <w:pPr>
              <w:jc w:val="left"/>
              <w:rPr>
                <w:rFonts w:ascii="仿宋_GB2312" w:eastAsia="仿宋_GB2312"/>
                <w:sz w:val="24"/>
                <w:szCs w:val="24"/>
              </w:rPr>
            </w:pPr>
            <w:r>
              <w:rPr>
                <w:rFonts w:hint="eastAsia" w:ascii="仿宋_GB2312" w:eastAsia="仿宋_GB2312"/>
                <w:sz w:val="24"/>
                <w:szCs w:val="24"/>
              </w:rPr>
              <w:t>不存在重大事故隐患，违法行为轻微并及时纠正，没有造成危害后果的</w:t>
            </w:r>
          </w:p>
        </w:tc>
        <w:tc>
          <w:tcPr>
            <w:tcW w:w="5641" w:type="dxa"/>
            <w:shd w:val="clear" w:color="000000" w:fill="FFFFFF"/>
            <w:vAlign w:val="center"/>
          </w:tcPr>
          <w:p w14:paraId="6905D262">
            <w:pPr>
              <w:jc w:val="left"/>
              <w:rPr>
                <w:rFonts w:ascii="仿宋_GB2312" w:eastAsia="仿宋_GB2312"/>
                <w:sz w:val="24"/>
                <w:szCs w:val="24"/>
              </w:rPr>
            </w:pPr>
            <w:r>
              <w:rPr>
                <w:rFonts w:hint="eastAsia" w:ascii="仿宋_GB2312" w:eastAsia="仿宋_GB2312"/>
                <w:b/>
                <w:sz w:val="24"/>
                <w:szCs w:val="24"/>
              </w:rPr>
              <w:t>《中华人民共和国安全生产法》第七十条第一款：</w:t>
            </w:r>
            <w:r>
              <w:rPr>
                <w:rFonts w:hint="eastAsia" w:ascii="仿宋_GB2312" w:eastAsia="仿宋_GB2312"/>
                <w:sz w:val="24"/>
                <w:szCs w:val="24"/>
              </w:rPr>
              <w:t>负有安全生产监督管理职责的部门依法对存在重大事故隐患的生产经营单位作出停产停业、停止施工、停止使用相关设施或者设备的决定，生产经营单位应当依法执行，及时消除事故隐患。生产经营单位拒不执行，有发生生产安全事故的现实危险的，在保证安全的前提下，经本部门主要负责人批准，负有安全生产监督管理职责的部门可以采取通知有关单位停止供电、停止供应民用爆炸物品等措施，强制生产经营单位履行决定。通知应当采用书面形式，有关单位应当予以配合。</w:t>
            </w:r>
          </w:p>
          <w:p w14:paraId="3337DD98">
            <w:pPr>
              <w:jc w:val="left"/>
              <w:rPr>
                <w:rFonts w:ascii="仿宋_GB2312" w:eastAsia="仿宋_GB2312"/>
                <w:sz w:val="24"/>
                <w:szCs w:val="24"/>
              </w:rPr>
            </w:pPr>
            <w:r>
              <w:rPr>
                <w:rFonts w:ascii="仿宋_GB2312" w:hAnsi="宋体" w:eastAsia="仿宋_GB2312" w:cs="宋体"/>
                <w:b/>
                <w:bCs/>
                <w:kern w:val="0"/>
                <w:sz w:val="24"/>
                <w:szCs w:val="24"/>
              </w:rPr>
              <w:t>2.《</w:t>
            </w:r>
            <w:r>
              <w:rPr>
                <w:rFonts w:hint="eastAsia" w:ascii="仿宋_GB2312" w:hAnsi="宋体" w:eastAsia="仿宋_GB2312" w:cs="宋体"/>
                <w:b/>
                <w:bCs/>
                <w:kern w:val="0"/>
                <w:sz w:val="24"/>
                <w:szCs w:val="24"/>
              </w:rPr>
              <w:t>中华人民共和国行政处罚法</w:t>
            </w:r>
            <w:r>
              <w:rPr>
                <w:rFonts w:ascii="仿宋_GB2312" w:hAnsi="宋体" w:eastAsia="仿宋_GB2312" w:cs="宋体"/>
                <w:b/>
                <w:bCs/>
                <w:kern w:val="0"/>
                <w:sz w:val="24"/>
                <w:szCs w:val="24"/>
              </w:rPr>
              <w:t>》第三十三条第一款</w:t>
            </w:r>
          </w:p>
        </w:tc>
      </w:tr>
    </w:tbl>
    <w:p w14:paraId="746F2C94">
      <w:pPr>
        <w:rPr>
          <w:rFonts w:ascii="仿宋_GB2312" w:hAnsi="微软雅黑" w:eastAsia="仿宋_GB2312" w:cs="宋体"/>
          <w:kern w:val="0"/>
          <w:sz w:val="32"/>
          <w:szCs w:val="32"/>
          <w:shd w:val="clear" w:color="auto" w:fill="FFFFFF"/>
        </w:rPr>
      </w:pPr>
    </w:p>
    <w:p w14:paraId="0EF0C9F2">
      <w:pPr>
        <w:rPr>
          <w:rFonts w:ascii="仿宋_GB2312" w:eastAsia="仿宋_GB2312"/>
          <w:sz w:val="32"/>
          <w:szCs w:val="32"/>
        </w:rPr>
      </w:pPr>
    </w:p>
    <w:p w14:paraId="0B0A66BB">
      <w:pPr>
        <w:rPr>
          <w:rFonts w:ascii="仿宋_GB2312" w:eastAsia="仿宋_GB2312"/>
          <w:sz w:val="32"/>
          <w:szCs w:val="32"/>
        </w:rPr>
      </w:pPr>
    </w:p>
    <w:p w14:paraId="7750DBB1">
      <w:pPr>
        <w:rPr>
          <w:rFonts w:ascii="仿宋_GB2312" w:eastAsia="仿宋_GB2312"/>
          <w:sz w:val="32"/>
          <w:szCs w:val="32"/>
        </w:rPr>
      </w:pPr>
    </w:p>
    <w:p w14:paraId="62678646">
      <w:pPr>
        <w:rPr>
          <w:rFonts w:ascii="仿宋_GB2312" w:eastAsia="仿宋_GB2312"/>
          <w:sz w:val="32"/>
          <w:szCs w:val="32"/>
        </w:rPr>
      </w:pPr>
    </w:p>
    <w:p w14:paraId="6076B4A6">
      <w:pPr>
        <w:rPr>
          <w:rFonts w:ascii="仿宋_GB2312" w:eastAsia="仿宋_GB2312"/>
          <w:sz w:val="32"/>
          <w:szCs w:val="32"/>
        </w:rPr>
      </w:pPr>
    </w:p>
    <w:p w14:paraId="6AC22DF6">
      <w:pPr>
        <w:rPr>
          <w:rFonts w:ascii="仿宋_GB2312" w:eastAsia="仿宋_GB2312"/>
          <w:sz w:val="32"/>
          <w:szCs w:val="32"/>
        </w:rPr>
      </w:pPr>
    </w:p>
    <w:p w14:paraId="3B4B2C90">
      <w:pPr>
        <w:rPr>
          <w:rFonts w:ascii="仿宋_GB2312" w:eastAsia="仿宋_GB2312"/>
          <w:sz w:val="32"/>
          <w:szCs w:val="32"/>
        </w:rPr>
      </w:pPr>
    </w:p>
    <w:p w14:paraId="212533D2">
      <w:pPr>
        <w:rPr>
          <w:rFonts w:ascii="仿宋_GB2312" w:eastAsia="仿宋_GB2312"/>
          <w:sz w:val="32"/>
          <w:szCs w:val="32"/>
        </w:rPr>
      </w:pPr>
    </w:p>
    <w:p w14:paraId="13D483B7">
      <w:pPr>
        <w:rPr>
          <w:rFonts w:ascii="仿宋_GB2312" w:eastAsia="仿宋_GB2312"/>
          <w:sz w:val="32"/>
          <w:szCs w:val="32"/>
        </w:rPr>
      </w:pPr>
    </w:p>
    <w:p w14:paraId="72FF7E6A">
      <w:pPr>
        <w:rPr>
          <w:rFonts w:ascii="仿宋_GB2312" w:eastAsia="仿宋_GB2312"/>
          <w:sz w:val="32"/>
          <w:szCs w:val="32"/>
        </w:rPr>
      </w:pPr>
    </w:p>
    <w:p w14:paraId="6C72916E">
      <w:pPr>
        <w:rPr>
          <w:rFonts w:ascii="仿宋_GB2312" w:eastAsia="仿宋_GB2312"/>
          <w:sz w:val="32"/>
          <w:szCs w:val="32"/>
        </w:rPr>
      </w:pPr>
      <w:r>
        <w:rPr>
          <w:rFonts w:hint="eastAsia" w:ascii="仿宋_GB2312" w:eastAsia="仿宋_GB2312"/>
          <w:sz w:val="32"/>
          <w:szCs w:val="32"/>
        </w:rPr>
        <w:t>四、备注：</w:t>
      </w:r>
    </w:p>
    <w:p w14:paraId="2BE36B65">
      <w:pPr>
        <w:spacing w:line="460" w:lineRule="exact"/>
        <w:ind w:firstLine="640" w:firstLineChars="200"/>
        <w:rPr>
          <w:rFonts w:ascii="仿宋_GB2312" w:eastAsia="仿宋_GB2312"/>
          <w:sz w:val="32"/>
          <w:szCs w:val="32"/>
        </w:rPr>
      </w:pPr>
      <w:r>
        <w:rPr>
          <w:rFonts w:hint="eastAsia" w:eastAsia="仿宋_GB2312"/>
          <w:sz w:val="32"/>
          <w:szCs w:val="32"/>
        </w:rPr>
        <w:t> </w:t>
      </w:r>
      <w:r>
        <w:rPr>
          <w:rFonts w:hint="eastAsia" w:ascii="仿宋_GB2312" w:eastAsia="仿宋_GB2312"/>
          <w:sz w:val="32"/>
          <w:szCs w:val="32"/>
        </w:rPr>
        <w:t>1、《清单》中所称“一般行业生产经营单位”是指除矿山、金属冶炼、建筑施工、道路运输单位和危险物品的生产、经营、储存单位以外的其他生产经营单位。</w:t>
      </w:r>
    </w:p>
    <w:p w14:paraId="70C805C2">
      <w:pPr>
        <w:spacing w:line="460" w:lineRule="exact"/>
        <w:ind w:firstLine="640" w:firstLineChars="200"/>
        <w:rPr>
          <w:rFonts w:ascii="仿宋_GB2312" w:eastAsia="仿宋_GB2312"/>
          <w:sz w:val="32"/>
          <w:szCs w:val="32"/>
        </w:rPr>
      </w:pPr>
      <w:r>
        <w:rPr>
          <w:rFonts w:hint="eastAsia" w:ascii="仿宋_GB2312" w:eastAsia="仿宋_GB2312"/>
          <w:sz w:val="32"/>
          <w:szCs w:val="32"/>
        </w:rPr>
        <w:t>2、《清单》中所称“首次被发现”是指生产经营单位的该项违法行为自本清单正式施行之日起第一次被广水市应急管理局执法人员发现。</w:t>
      </w:r>
    </w:p>
    <w:p w14:paraId="15E2C5BA">
      <w:pPr>
        <w:spacing w:line="460" w:lineRule="exact"/>
        <w:ind w:firstLine="640" w:firstLineChars="200"/>
        <w:rPr>
          <w:rFonts w:ascii="仿宋_GB2312" w:eastAsia="仿宋_GB2312"/>
          <w:sz w:val="32"/>
          <w:szCs w:val="32"/>
        </w:rPr>
      </w:pPr>
      <w:r>
        <w:rPr>
          <w:rFonts w:hint="eastAsia" w:ascii="仿宋_GB2312" w:eastAsia="仿宋_GB2312"/>
          <w:sz w:val="32"/>
          <w:szCs w:val="32"/>
        </w:rPr>
        <w:t>3、《清单》中所称“违法行为轻微并及时纠正”是指生产经营单位违法行为轻微，并按时限要求完成了违法行为整改，而且经执法人员复查验收符合法律法规和有关标准的要求。</w:t>
      </w:r>
    </w:p>
    <w:p w14:paraId="3FCF0C50">
      <w:pPr>
        <w:spacing w:line="460" w:lineRule="exact"/>
        <w:ind w:firstLine="640" w:firstLineChars="200"/>
        <w:rPr>
          <w:rFonts w:ascii="仿宋_GB2312" w:eastAsia="仿宋_GB2312"/>
          <w:sz w:val="32"/>
          <w:szCs w:val="32"/>
        </w:rPr>
      </w:pPr>
      <w:r>
        <w:rPr>
          <w:rFonts w:hint="eastAsia" w:ascii="仿宋_GB2312" w:eastAsia="仿宋_GB2312"/>
          <w:sz w:val="32"/>
          <w:szCs w:val="32"/>
        </w:rPr>
        <w:t>4、《清单》中所称“没有造成危害后果”是指没有给公民、法人和其他组织造成任何的财产损失或人员伤亡的后果。</w:t>
      </w:r>
    </w:p>
    <w:p w14:paraId="53B18B78">
      <w:pPr>
        <w:widowControl/>
        <w:jc w:val="left"/>
        <w:rPr>
          <w:rFonts w:ascii="仿宋_GB2312" w:hAnsi="微软雅黑" w:eastAsia="仿宋_GB2312" w:cs="宋体"/>
          <w:kern w:val="0"/>
          <w:sz w:val="32"/>
          <w:szCs w:val="32"/>
          <w:shd w:val="clear" w:color="auto" w:fill="FFFFFF"/>
        </w:rPr>
      </w:pPr>
    </w:p>
    <w:p w14:paraId="4993BE52">
      <w:pPr>
        <w:widowControl/>
        <w:jc w:val="right"/>
        <w:rPr>
          <w:rFonts w:ascii="仿宋_GB2312" w:hAnsi="微软雅黑" w:eastAsia="仿宋_GB2312" w:cs="宋体"/>
          <w:kern w:val="0"/>
          <w:sz w:val="32"/>
          <w:szCs w:val="32"/>
          <w:shd w:val="clear" w:color="auto" w:fill="FFFFFF"/>
        </w:rPr>
      </w:pPr>
      <w:r>
        <w:rPr>
          <w:rFonts w:hint="eastAsia" w:ascii="仿宋_GB2312" w:hAnsi="微软雅黑" w:eastAsia="仿宋_GB2312" w:cs="宋体"/>
          <w:kern w:val="0"/>
          <w:sz w:val="32"/>
          <w:szCs w:val="32"/>
          <w:shd w:val="clear" w:color="auto" w:fill="FFFFFF"/>
        </w:rPr>
        <w:t>广水市应急管理局</w:t>
      </w:r>
    </w:p>
    <w:p w14:paraId="3C360952">
      <w:pPr>
        <w:widowControl/>
        <w:jc w:val="right"/>
        <w:rPr>
          <w:rFonts w:ascii="仿宋_GB2312" w:hAnsi="宋体" w:eastAsia="仿宋_GB2312" w:cs="宋体"/>
          <w:kern w:val="0"/>
          <w:sz w:val="32"/>
          <w:szCs w:val="32"/>
        </w:rPr>
      </w:pPr>
      <w:r>
        <w:rPr>
          <w:rFonts w:hint="eastAsia" w:ascii="仿宋_GB2312" w:hAnsi="微软雅黑" w:eastAsia="仿宋_GB2312" w:cs="宋体"/>
          <w:kern w:val="0"/>
          <w:sz w:val="32"/>
          <w:szCs w:val="32"/>
          <w:shd w:val="clear" w:color="auto" w:fill="FFFFFF"/>
        </w:rPr>
        <w:t>202</w:t>
      </w:r>
      <w:r>
        <w:rPr>
          <w:rFonts w:hint="eastAsia" w:ascii="仿宋_GB2312" w:hAnsi="微软雅黑" w:eastAsia="仿宋_GB2312" w:cs="宋体"/>
          <w:kern w:val="0"/>
          <w:sz w:val="32"/>
          <w:szCs w:val="32"/>
          <w:shd w:val="clear" w:color="auto" w:fill="FFFFFF"/>
          <w:lang w:val="en-US" w:eastAsia="zh-CN"/>
        </w:rPr>
        <w:t>5</w:t>
      </w:r>
      <w:r>
        <w:rPr>
          <w:rFonts w:hint="eastAsia" w:ascii="仿宋_GB2312" w:hAnsi="微软雅黑" w:eastAsia="仿宋_GB2312" w:cs="宋体"/>
          <w:kern w:val="0"/>
          <w:sz w:val="32"/>
          <w:szCs w:val="32"/>
          <w:shd w:val="clear" w:color="auto" w:fill="FFFFFF"/>
        </w:rPr>
        <w:t>年</w:t>
      </w:r>
      <w:r>
        <w:rPr>
          <w:rFonts w:hint="eastAsia" w:ascii="仿宋_GB2312" w:hAnsi="微软雅黑" w:eastAsia="仿宋_GB2312" w:cs="宋体"/>
          <w:kern w:val="0"/>
          <w:sz w:val="32"/>
          <w:szCs w:val="32"/>
          <w:shd w:val="clear" w:color="auto" w:fill="FFFFFF"/>
          <w:lang w:val="en-US" w:eastAsia="zh-CN"/>
        </w:rPr>
        <w:t>3</w:t>
      </w:r>
      <w:r>
        <w:rPr>
          <w:rFonts w:hint="eastAsia" w:ascii="仿宋_GB2312" w:hAnsi="微软雅黑" w:eastAsia="仿宋_GB2312" w:cs="宋体"/>
          <w:kern w:val="0"/>
          <w:sz w:val="32"/>
          <w:szCs w:val="32"/>
          <w:shd w:val="clear" w:color="auto" w:fill="FFFFFF"/>
        </w:rPr>
        <w:t>月</w:t>
      </w:r>
      <w:r>
        <w:rPr>
          <w:rFonts w:hint="eastAsia" w:ascii="仿宋_GB2312" w:hAnsi="微软雅黑" w:eastAsia="仿宋_GB2312" w:cs="宋体"/>
          <w:kern w:val="0"/>
          <w:sz w:val="32"/>
          <w:szCs w:val="32"/>
          <w:shd w:val="clear" w:color="auto" w:fill="FFFFFF"/>
          <w:lang w:val="en-US" w:eastAsia="zh-CN"/>
        </w:rPr>
        <w:t>5</w:t>
      </w:r>
      <w:bookmarkStart w:id="0" w:name="_GoBack"/>
      <w:bookmarkEnd w:id="0"/>
      <w:r>
        <w:rPr>
          <w:rFonts w:hint="eastAsia" w:ascii="仿宋_GB2312" w:hAnsi="微软雅黑" w:eastAsia="仿宋_GB2312" w:cs="宋体"/>
          <w:kern w:val="0"/>
          <w:sz w:val="32"/>
          <w:szCs w:val="32"/>
          <w:shd w:val="clear" w:color="auto"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Helvetica">
    <w:altName w:val="Liberation Sans"/>
    <w:panose1 w:val="020B0604020202020204"/>
    <w:charset w:val="00"/>
    <w:family w:val="swiss"/>
    <w:pitch w:val="default"/>
    <w:sig w:usb0="00000000" w:usb1="00000000" w:usb2="00000009" w:usb3="00000000" w:csb0="000001FF" w:csb1="00000000"/>
  </w:font>
  <w:font w:name="Liberation Sans">
    <w:panose1 w:val="020B0604020202020204"/>
    <w:charset w:val="00"/>
    <w:family w:val="auto"/>
    <w:pitch w:val="default"/>
    <w:sig w:usb0="A00002AF" w:usb1="500078FB" w:usb2="00000000" w:usb3="00000000" w:csb0="6000009F" w:csb1="DFD70000"/>
  </w:font>
  <w:font w:name="MS Mincho">
    <w:altName w:val="方正书宋_GBK"/>
    <w:panose1 w:val="02020609040205080304"/>
    <w:charset w:val="80"/>
    <w:family w:val="modern"/>
    <w:pitch w:val="default"/>
    <w:sig w:usb0="00000000" w:usb1="00000000"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diODI3Njc4ZTA1MTRhN2YwYWY2ZjVhMWY5MzcxOGYifQ=="/>
  </w:docVars>
  <w:rsids>
    <w:rsidRoot w:val="00FC20B0"/>
    <w:rsid w:val="000058F7"/>
    <w:rsid w:val="002B0434"/>
    <w:rsid w:val="00353AAD"/>
    <w:rsid w:val="00435ADA"/>
    <w:rsid w:val="004F239A"/>
    <w:rsid w:val="006B6E8A"/>
    <w:rsid w:val="00721754"/>
    <w:rsid w:val="008B2BBF"/>
    <w:rsid w:val="00DC6221"/>
    <w:rsid w:val="00DF720A"/>
    <w:rsid w:val="00E11606"/>
    <w:rsid w:val="00E5265B"/>
    <w:rsid w:val="00F4026A"/>
    <w:rsid w:val="00FC20B0"/>
    <w:rsid w:val="1F9A4C37"/>
    <w:rsid w:val="9778DB77"/>
    <w:rsid w:val="F7D75C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7">
    <w:name w:val="页眉 Char"/>
    <w:basedOn w:val="6"/>
    <w:link w:val="3"/>
    <w:semiHidden/>
    <w:qFormat/>
    <w:uiPriority w:val="99"/>
    <w:rPr>
      <w:sz w:val="18"/>
      <w:szCs w:val="18"/>
    </w:rPr>
  </w:style>
  <w:style w:type="character" w:customStyle="1" w:styleId="8">
    <w:name w:val="页脚 Char"/>
    <w:basedOn w:val="6"/>
    <w:link w:val="2"/>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1279</Words>
  <Characters>7294</Characters>
  <Lines>60</Lines>
  <Paragraphs>17</Paragraphs>
  <TotalTime>80</TotalTime>
  <ScaleCrop>false</ScaleCrop>
  <LinksUpToDate>false</LinksUpToDate>
  <CharactersWithSpaces>8556</CharactersWithSpaces>
  <Application>WPS Office_12.8.2.1118_F1E327BC-269C-435d-A152-05C5408002CA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2022-06-18T00:11:00Z</dcterms:created>
  <dc:creator>PC</dc:creator>
  <cp:lastModifiedBy>huawei</cp:lastModifiedBy>
  <dcterms:modified xsi:type="dcterms:W3CDTF">2025-03-05T17:09:59Z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2052-12.8.2.1118</vt:lpwstr>
  </property>
  <property fmtid="{D5CDD505-2E9C-101B-9397-08002B2CF9AE}" pid="3" name="ICV">
    <vt:lpwstr>5A418299B0064FB0894A7C0AEDFE1C75</vt:lpwstr>
  </property>
</Properties>
</file>