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E57CC">
      <w:pPr>
        <w:spacing w:line="580" w:lineRule="exact"/>
        <w:jc w:val="center"/>
        <w:rPr>
          <w:rFonts w:hint="eastAsia" w:ascii="CESI小标宋-GB2312" w:hAnsi="CESI小标宋-GB2312" w:eastAsia="CESI小标宋-GB2312" w:cs="CESI小标宋-GB2312"/>
          <w:b/>
          <w:bCs/>
          <w:sz w:val="40"/>
          <w:szCs w:val="40"/>
          <w:lang w:val="en-US" w:eastAsia="zh-CN"/>
        </w:rPr>
      </w:pPr>
      <w:r>
        <w:rPr>
          <w:rFonts w:hint="eastAsia" w:ascii="CESI小标宋-GB2312" w:hAnsi="CESI小标宋-GB2312" w:eastAsia="CESI小标宋-GB2312" w:cs="CESI小标宋-GB2312"/>
          <w:b/>
          <w:bCs/>
          <w:sz w:val="40"/>
          <w:szCs w:val="40"/>
          <w:lang w:val="en-US" w:eastAsia="zh-CN"/>
        </w:rPr>
        <w:t>广水市住房和城乡建设局</w:t>
      </w:r>
    </w:p>
    <w:p w14:paraId="0248DF52">
      <w:pPr>
        <w:spacing w:line="580" w:lineRule="exact"/>
        <w:jc w:val="center"/>
        <w:rPr>
          <w:rFonts w:hint="eastAsia" w:ascii="CESI仿宋-GB2312" w:hAnsi="CESI仿宋-GB2312" w:eastAsia="CESI仿宋-GB2312" w:cs="CESI仿宋-GB2312"/>
          <w:b/>
          <w:bCs/>
          <w:sz w:val="36"/>
          <w:szCs w:val="36"/>
        </w:rPr>
      </w:pPr>
      <w:r>
        <w:rPr>
          <w:rFonts w:hint="eastAsia" w:ascii="CESI小标宋-GB2312" w:hAnsi="CESI小标宋-GB2312" w:eastAsia="CESI小标宋-GB2312" w:cs="CESI小标宋-GB2312"/>
          <w:b/>
          <w:bCs/>
          <w:sz w:val="40"/>
          <w:szCs w:val="40"/>
          <w:lang w:val="en-US" w:eastAsia="zh-CN"/>
        </w:rPr>
        <w:t>2024</w:t>
      </w:r>
      <w:r>
        <w:rPr>
          <w:rFonts w:hint="eastAsia" w:ascii="CESI小标宋-GB2312" w:hAnsi="CESI小标宋-GB2312" w:eastAsia="CESI小标宋-GB2312" w:cs="CESI小标宋-GB2312"/>
          <w:b/>
          <w:bCs/>
          <w:sz w:val="40"/>
          <w:szCs w:val="40"/>
        </w:rPr>
        <w:t>年度行政执法统计年报</w:t>
      </w:r>
    </w:p>
    <w:p w14:paraId="2ADB5BE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t>一、行政执法主体概况</w:t>
      </w:r>
    </w:p>
    <w:p w14:paraId="0859DA9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（一）行政执法主体的名称和数量情况。</w:t>
      </w:r>
    </w:p>
    <w:p w14:paraId="396C322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eastAsia" w:ascii="仿宋" w:hAnsi="仿宋" w:eastAsia="仿宋" w:cs="仿宋"/>
          <w:sz w:val="32"/>
          <w:szCs w:val="32"/>
        </w:rPr>
        <w:t>本</w:t>
      </w:r>
      <w:r>
        <w:rPr>
          <w:rFonts w:hint="eastAsia" w:ascii="仿宋" w:hAnsi="仿宋" w:eastAsia="仿宋" w:cs="仿宋"/>
          <w:sz w:val="32"/>
          <w:szCs w:val="32"/>
          <w:lang w:eastAsia="zh-CN"/>
        </w:rPr>
        <w:t>机关执法主体名称为</w:t>
      </w:r>
      <w:r>
        <w:rPr>
          <w:rFonts w:hint="eastAsia" w:ascii="仿宋" w:hAnsi="仿宋" w:eastAsia="仿宋" w:cs="仿宋"/>
          <w:sz w:val="32"/>
          <w:szCs w:val="32"/>
          <w:u w:val="single"/>
          <w:lang w:val="en-US" w:eastAsia="zh-CN"/>
        </w:rPr>
        <w:t>广水市住房和城乡建设局</w:t>
      </w:r>
      <w:r>
        <w:rPr>
          <w:rFonts w:hint="default" w:ascii="CESI仿宋-GB2312" w:hAnsi="CESI仿宋-GB2312" w:eastAsia="CESI仿宋-GB2312" w:cs="CESI仿宋-GB2312"/>
          <w:sz w:val="32"/>
          <w:szCs w:val="32"/>
        </w:rPr>
        <w:t>。</w:t>
      </w:r>
    </w:p>
    <w:p w14:paraId="6630B7D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（二）</w:t>
      </w:r>
      <w:r>
        <w:rPr>
          <w:rFonts w:hint="eastAsia" w:ascii="楷体" w:hAnsi="楷体" w:eastAsia="楷体" w:cs="楷体"/>
          <w:sz w:val="32"/>
          <w:szCs w:val="32"/>
        </w:rPr>
        <w:t>行政执法机关及各执法主体的执法岗位设置数量及在岗执法人员数量。</w:t>
      </w:r>
    </w:p>
    <w:p w14:paraId="376985A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楷体" w:hAnsi="楷体" w:eastAsia="楷体" w:cs="楷体"/>
          <w:sz w:val="32"/>
          <w:szCs w:val="32"/>
        </w:rPr>
      </w:pPr>
      <w:r>
        <w:rPr>
          <w:rFonts w:hint="eastAsia" w:ascii="仿宋" w:hAnsi="仿宋" w:eastAsia="仿宋" w:cs="仿宋"/>
          <w:sz w:val="32"/>
          <w:szCs w:val="32"/>
          <w:lang w:eastAsia="zh-CN"/>
        </w:rPr>
        <w:t>本机关涉及执法岗位设置部门</w:t>
      </w:r>
      <w:r>
        <w:rPr>
          <w:rFonts w:hint="eastAsia" w:ascii="仿宋" w:hAnsi="仿宋" w:eastAsia="仿宋" w:cs="仿宋"/>
          <w:sz w:val="32"/>
          <w:szCs w:val="32"/>
          <w:u w:val="single"/>
          <w:lang w:val="en-US" w:eastAsia="zh-CN"/>
        </w:rPr>
        <w:t>5</w:t>
      </w:r>
      <w:r>
        <w:rPr>
          <w:rFonts w:hint="eastAsia" w:ascii="仿宋" w:hAnsi="仿宋" w:eastAsia="仿宋" w:cs="仿宋"/>
          <w:sz w:val="32"/>
          <w:szCs w:val="32"/>
          <w:lang w:val="en-US" w:eastAsia="zh-CN"/>
        </w:rPr>
        <w:t>个，分别</w:t>
      </w:r>
      <w:r>
        <w:rPr>
          <w:rFonts w:hint="eastAsia" w:ascii="仿宋" w:hAnsi="仿宋" w:eastAsia="仿宋" w:cs="仿宋"/>
          <w:sz w:val="32"/>
          <w:szCs w:val="32"/>
          <w:u w:val="none"/>
          <w:lang w:val="en-US" w:eastAsia="zh-CN"/>
        </w:rPr>
        <w:t>为</w:t>
      </w:r>
      <w:r>
        <w:rPr>
          <w:rFonts w:hint="eastAsia" w:ascii="仿宋" w:hAnsi="仿宋" w:eastAsia="仿宋" w:cs="仿宋"/>
          <w:sz w:val="32"/>
          <w:szCs w:val="32"/>
          <w:u w:val="single"/>
          <w:lang w:val="en-US" w:eastAsia="zh-CN"/>
        </w:rPr>
        <w:t>建筑业管理股</w:t>
      </w:r>
      <w:r>
        <w:rPr>
          <w:rFonts w:hint="eastAsia" w:ascii="仿宋" w:hAnsi="仿宋" w:eastAsia="仿宋" w:cs="仿宋"/>
          <w:sz w:val="32"/>
          <w:szCs w:val="32"/>
          <w:u w:val="none"/>
          <w:lang w:val="en-US" w:eastAsia="zh-CN"/>
        </w:rPr>
        <w:t>、</w:t>
      </w:r>
      <w:r>
        <w:rPr>
          <w:rFonts w:hint="eastAsia" w:ascii="仿宋" w:hAnsi="仿宋" w:eastAsia="仿宋" w:cs="仿宋"/>
          <w:sz w:val="32"/>
          <w:szCs w:val="32"/>
          <w:u w:val="single"/>
          <w:lang w:val="en-US" w:eastAsia="zh-CN"/>
        </w:rPr>
        <w:t>城建股</w:t>
      </w:r>
      <w:r>
        <w:rPr>
          <w:rFonts w:hint="eastAsia" w:ascii="仿宋" w:hAnsi="仿宋" w:eastAsia="仿宋" w:cs="仿宋"/>
          <w:sz w:val="32"/>
          <w:szCs w:val="32"/>
          <w:u w:val="none"/>
          <w:lang w:val="en-US" w:eastAsia="zh-CN"/>
        </w:rPr>
        <w:t>、</w:t>
      </w:r>
      <w:r>
        <w:rPr>
          <w:rFonts w:hint="eastAsia" w:ascii="仿宋" w:hAnsi="仿宋" w:eastAsia="仿宋" w:cs="仿宋"/>
          <w:sz w:val="32"/>
          <w:szCs w:val="32"/>
          <w:u w:val="single"/>
          <w:lang w:val="en-US" w:eastAsia="zh-CN"/>
        </w:rPr>
        <w:t>村镇建设股</w:t>
      </w:r>
      <w:r>
        <w:rPr>
          <w:rFonts w:hint="eastAsia" w:ascii="仿宋" w:hAnsi="仿宋" w:eastAsia="仿宋" w:cs="仿宋"/>
          <w:sz w:val="32"/>
          <w:szCs w:val="32"/>
          <w:u w:val="none"/>
          <w:lang w:val="en-US" w:eastAsia="zh-CN"/>
        </w:rPr>
        <w:t>、</w:t>
      </w:r>
      <w:r>
        <w:rPr>
          <w:rFonts w:hint="eastAsia" w:ascii="仿宋" w:hAnsi="仿宋" w:eastAsia="仿宋" w:cs="仿宋"/>
          <w:sz w:val="32"/>
          <w:szCs w:val="32"/>
          <w:u w:val="single"/>
          <w:lang w:val="en-US" w:eastAsia="zh-CN"/>
        </w:rPr>
        <w:t>房产市场管理股</w:t>
      </w:r>
      <w:r>
        <w:rPr>
          <w:rFonts w:hint="eastAsia" w:ascii="仿宋" w:hAnsi="仿宋" w:eastAsia="仿宋" w:cs="仿宋"/>
          <w:sz w:val="32"/>
          <w:szCs w:val="32"/>
          <w:u w:val="none"/>
          <w:lang w:val="en-US" w:eastAsia="zh-CN"/>
        </w:rPr>
        <w:t>、</w:t>
      </w:r>
      <w:r>
        <w:rPr>
          <w:rFonts w:hint="eastAsia" w:ascii="仿宋" w:hAnsi="仿宋" w:eastAsia="仿宋" w:cs="仿宋"/>
          <w:sz w:val="32"/>
          <w:szCs w:val="32"/>
          <w:u w:val="single"/>
          <w:lang w:val="en-US" w:eastAsia="zh-CN"/>
        </w:rPr>
        <w:t>房产物业监督股</w:t>
      </w:r>
      <w:r>
        <w:rPr>
          <w:rFonts w:hint="eastAsia" w:ascii="仿宋" w:hAnsi="仿宋" w:eastAsia="仿宋" w:cs="仿宋"/>
          <w:sz w:val="32"/>
          <w:szCs w:val="32"/>
          <w:lang w:val="en-US" w:eastAsia="zh-CN"/>
        </w:rPr>
        <w:t>，在岗执法人员</w:t>
      </w:r>
      <w:r>
        <w:rPr>
          <w:rFonts w:hint="eastAsia" w:ascii="仿宋" w:hAnsi="仿宋" w:eastAsia="仿宋" w:cs="仿宋"/>
          <w:sz w:val="32"/>
          <w:szCs w:val="32"/>
          <w:u w:val="single"/>
          <w:lang w:val="en-US" w:eastAsia="zh-CN"/>
        </w:rPr>
        <w:t>87</w:t>
      </w:r>
      <w:r>
        <w:rPr>
          <w:rFonts w:hint="eastAsia" w:ascii="仿宋" w:hAnsi="仿宋" w:eastAsia="仿宋" w:cs="仿宋"/>
          <w:sz w:val="32"/>
          <w:szCs w:val="32"/>
          <w:lang w:val="en-US" w:eastAsia="zh-CN"/>
        </w:rPr>
        <w:t>名。</w:t>
      </w:r>
    </w:p>
    <w:p w14:paraId="4FBF617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rPr>
        <w:t>二、202</w:t>
      </w:r>
      <w:r>
        <w:rPr>
          <w:rFonts w:hint="eastAsia" w:ascii="CESI黑体-GB2312" w:hAnsi="CESI黑体-GB2312" w:eastAsia="CESI黑体-GB2312" w:cs="CESI黑体-GB2312"/>
          <w:sz w:val="32"/>
          <w:szCs w:val="32"/>
          <w:lang w:val="en-US" w:eastAsia="zh-CN"/>
        </w:rPr>
        <w:t>4</w:t>
      </w:r>
      <w:r>
        <w:rPr>
          <w:rFonts w:hint="eastAsia" w:ascii="CESI黑体-GB2312" w:hAnsi="CESI黑体-GB2312" w:eastAsia="CESI黑体-GB2312" w:cs="CESI黑体-GB2312"/>
          <w:sz w:val="32"/>
          <w:szCs w:val="32"/>
        </w:rPr>
        <w:t>年度行政执法案件情况</w:t>
      </w:r>
    </w:p>
    <w:p w14:paraId="737F810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Fonts w:hint="eastAsia" w:ascii="CESI楷体-GB2312" w:hAnsi="CESI楷体-GB2312" w:eastAsia="CESI楷体-GB2312" w:cs="CESI楷体-GB2312"/>
          <w:b w:val="0"/>
          <w:bCs w:val="0"/>
          <w:sz w:val="16"/>
          <w:szCs w:val="16"/>
        </w:rPr>
      </w:pPr>
      <w:r>
        <w:rPr>
          <w:rFonts w:hint="eastAsia" w:ascii="CESI楷体-GB2312" w:hAnsi="CESI楷体-GB2312" w:eastAsia="CESI楷体-GB2312" w:cs="CESI楷体-GB2312"/>
          <w:b w:val="0"/>
          <w:bCs w:val="0"/>
          <w:sz w:val="32"/>
          <w:szCs w:val="32"/>
        </w:rPr>
        <w:t>（一）202</w:t>
      </w:r>
      <w:r>
        <w:rPr>
          <w:rFonts w:hint="eastAsia" w:ascii="CESI楷体-GB2312" w:hAnsi="CESI楷体-GB2312" w:eastAsia="CESI楷体-GB2312" w:cs="CESI楷体-GB2312"/>
          <w:b w:val="0"/>
          <w:bCs w:val="0"/>
          <w:sz w:val="32"/>
          <w:szCs w:val="32"/>
          <w:lang w:val="en-US" w:eastAsia="zh-CN"/>
        </w:rPr>
        <w:t>4</w:t>
      </w:r>
      <w:r>
        <w:rPr>
          <w:rFonts w:hint="eastAsia" w:ascii="CESI楷体-GB2312" w:hAnsi="CESI楷体-GB2312" w:eastAsia="CESI楷体-GB2312" w:cs="CESI楷体-GB2312"/>
          <w:b w:val="0"/>
          <w:bCs w:val="0"/>
          <w:sz w:val="32"/>
          <w:szCs w:val="32"/>
        </w:rPr>
        <w:t>年行政处罚实施情况统计表</w:t>
      </w:r>
    </w:p>
    <w:tbl>
      <w:tblPr>
        <w:tblStyle w:val="3"/>
        <w:tblW w:w="841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751"/>
        <w:gridCol w:w="937"/>
        <w:gridCol w:w="878"/>
        <w:gridCol w:w="952"/>
        <w:gridCol w:w="1065"/>
        <w:gridCol w:w="795"/>
        <w:gridCol w:w="885"/>
        <w:gridCol w:w="885"/>
        <w:gridCol w:w="1268"/>
      </w:tblGrid>
      <w:tr w14:paraId="284F9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23" w:hRule="atLeast"/>
          <w:jc w:val="center"/>
        </w:trPr>
        <w:tc>
          <w:tcPr>
            <w:tcW w:w="8416" w:type="dxa"/>
            <w:gridSpan w:val="9"/>
            <w:noWrap/>
            <w:tcMar>
              <w:top w:w="0" w:type="dxa"/>
              <w:left w:w="84" w:type="dxa"/>
              <w:bottom w:w="0" w:type="dxa"/>
              <w:right w:w="84" w:type="dxa"/>
            </w:tcMar>
            <w:vAlign w:val="center"/>
          </w:tcPr>
          <w:p w14:paraId="349BD62C">
            <w:pPr>
              <w:pStyle w:val="2"/>
              <w:widowControl/>
              <w:tabs>
                <w:tab w:val="left" w:pos="3082"/>
              </w:tabs>
              <w:spacing w:before="0" w:beforeAutospacing="0" w:after="0" w:afterAutospacing="0" w:line="400" w:lineRule="exact"/>
              <w:jc w:val="center"/>
              <w:rPr>
                <w:rFonts w:hint="default"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行政处罚实施数量（宗）</w:t>
            </w:r>
          </w:p>
        </w:tc>
      </w:tr>
      <w:tr w14:paraId="451EC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133" w:hRule="atLeast"/>
          <w:jc w:val="center"/>
        </w:trPr>
        <w:tc>
          <w:tcPr>
            <w:tcW w:w="751" w:type="dxa"/>
            <w:noWrap/>
            <w:tcMar>
              <w:top w:w="0" w:type="dxa"/>
              <w:left w:w="84" w:type="dxa"/>
              <w:bottom w:w="0" w:type="dxa"/>
              <w:right w:w="84" w:type="dxa"/>
            </w:tcMar>
            <w:vAlign w:val="center"/>
          </w:tcPr>
          <w:p w14:paraId="7443E9F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Style w:val="5"/>
                <w:rFonts w:hint="default" w:ascii="CESI黑体-GB2312" w:hAnsi="CESI黑体-GB2312" w:eastAsia="CESI黑体-GB2312" w:cs="CESI黑体-GB2312"/>
                <w:b w:val="0"/>
                <w:bCs/>
                <w:szCs w:val="24"/>
              </w:rPr>
            </w:pPr>
            <w:r>
              <w:rPr>
                <w:rStyle w:val="5"/>
                <w:rFonts w:hint="eastAsia" w:ascii="CESI黑体-GB2312" w:hAnsi="CESI黑体-GB2312" w:eastAsia="CESI黑体-GB2312" w:cs="CESI黑体-GB2312"/>
                <w:b w:val="0"/>
                <w:bCs/>
                <w:szCs w:val="24"/>
              </w:rPr>
              <w:t>单位</w:t>
            </w:r>
            <w:r>
              <w:rPr>
                <w:rStyle w:val="5"/>
                <w:rFonts w:hint="default" w:ascii="CESI黑体-GB2312" w:hAnsi="CESI黑体-GB2312" w:eastAsia="CESI黑体-GB2312" w:cs="CESI黑体-GB2312"/>
                <w:b w:val="0"/>
                <w:bCs/>
                <w:szCs w:val="24"/>
              </w:rPr>
              <w:t>名称</w:t>
            </w:r>
          </w:p>
        </w:tc>
        <w:tc>
          <w:tcPr>
            <w:tcW w:w="937" w:type="dxa"/>
            <w:noWrap/>
            <w:tcMar>
              <w:top w:w="0" w:type="dxa"/>
              <w:left w:w="84" w:type="dxa"/>
              <w:bottom w:w="0" w:type="dxa"/>
              <w:right w:w="84" w:type="dxa"/>
            </w:tcMar>
            <w:vAlign w:val="center"/>
          </w:tcPr>
          <w:p w14:paraId="0CF8379F">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黑体-GB2312" w:hAnsi="CESI黑体-GB2312" w:eastAsia="CESI黑体-GB2312" w:cs="CESI黑体-GB2312"/>
                <w:bCs/>
                <w:szCs w:val="24"/>
              </w:rPr>
            </w:pPr>
            <w:r>
              <w:rPr>
                <w:rFonts w:hint="default" w:ascii="CESI黑体-GB2312" w:hAnsi="CESI黑体-GB2312" w:eastAsia="CESI黑体-GB2312" w:cs="CESI黑体-GB2312"/>
                <w:bCs/>
                <w:szCs w:val="24"/>
              </w:rPr>
              <w:t>警告</w:t>
            </w:r>
          </w:p>
        </w:tc>
        <w:tc>
          <w:tcPr>
            <w:tcW w:w="878" w:type="dxa"/>
            <w:noWrap/>
            <w:tcMar>
              <w:top w:w="0" w:type="dxa"/>
              <w:left w:w="84" w:type="dxa"/>
              <w:bottom w:w="0" w:type="dxa"/>
              <w:right w:w="84" w:type="dxa"/>
            </w:tcMar>
            <w:vAlign w:val="center"/>
          </w:tcPr>
          <w:p w14:paraId="7F6D496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黑体-GB2312" w:hAnsi="CESI黑体-GB2312" w:eastAsia="CESI黑体-GB2312" w:cs="CESI黑体-GB2312"/>
                <w:bCs/>
                <w:szCs w:val="24"/>
              </w:rPr>
            </w:pPr>
            <w:r>
              <w:rPr>
                <w:rFonts w:hint="default" w:ascii="CESI黑体-GB2312" w:hAnsi="CESI黑体-GB2312" w:eastAsia="CESI黑体-GB2312" w:cs="CESI黑体-GB2312"/>
                <w:bCs/>
                <w:szCs w:val="24"/>
              </w:rPr>
              <w:t>通报批评</w:t>
            </w:r>
          </w:p>
        </w:tc>
        <w:tc>
          <w:tcPr>
            <w:tcW w:w="952" w:type="dxa"/>
            <w:noWrap/>
            <w:tcMar>
              <w:top w:w="0" w:type="dxa"/>
              <w:left w:w="84" w:type="dxa"/>
              <w:bottom w:w="0" w:type="dxa"/>
              <w:right w:w="84" w:type="dxa"/>
            </w:tcMar>
            <w:vAlign w:val="center"/>
          </w:tcPr>
          <w:p w14:paraId="40FFC0B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黑体-GB2312" w:hAnsi="CESI黑体-GB2312" w:eastAsia="CESI黑体-GB2312" w:cs="CESI黑体-GB2312"/>
                <w:bCs/>
                <w:szCs w:val="24"/>
              </w:rPr>
            </w:pPr>
            <w:r>
              <w:rPr>
                <w:rFonts w:hint="default" w:ascii="CESI黑体-GB2312" w:hAnsi="CESI黑体-GB2312" w:eastAsia="CESI黑体-GB2312" w:cs="CESI黑体-GB2312"/>
                <w:bCs/>
                <w:szCs w:val="24"/>
              </w:rPr>
              <w:t>罚款</w:t>
            </w:r>
          </w:p>
        </w:tc>
        <w:tc>
          <w:tcPr>
            <w:tcW w:w="1065" w:type="dxa"/>
            <w:noWrap/>
            <w:tcMar>
              <w:top w:w="0" w:type="dxa"/>
              <w:left w:w="84" w:type="dxa"/>
              <w:bottom w:w="0" w:type="dxa"/>
              <w:right w:w="84" w:type="dxa"/>
            </w:tcMar>
            <w:vAlign w:val="center"/>
          </w:tcPr>
          <w:p w14:paraId="03A55F1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黑体-GB2312" w:hAnsi="CESI黑体-GB2312" w:eastAsia="CESI黑体-GB2312" w:cs="CESI黑体-GB2312"/>
                <w:bCs/>
                <w:szCs w:val="24"/>
              </w:rPr>
            </w:pPr>
            <w:r>
              <w:rPr>
                <w:rFonts w:hint="default" w:ascii="CESI黑体-GB2312" w:hAnsi="CESI黑体-GB2312" w:eastAsia="CESI黑体-GB2312" w:cs="CESI黑体-GB2312"/>
                <w:bCs/>
                <w:szCs w:val="24"/>
              </w:rPr>
              <w:t>没收违法所得</w:t>
            </w:r>
          </w:p>
        </w:tc>
        <w:tc>
          <w:tcPr>
            <w:tcW w:w="795" w:type="dxa"/>
            <w:noWrap/>
            <w:tcMar>
              <w:top w:w="0" w:type="dxa"/>
              <w:left w:w="84" w:type="dxa"/>
              <w:bottom w:w="0" w:type="dxa"/>
              <w:right w:w="84" w:type="dxa"/>
            </w:tcMar>
            <w:vAlign w:val="center"/>
          </w:tcPr>
          <w:p w14:paraId="1ECC2C0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黑体-GB2312" w:hAnsi="CESI黑体-GB2312" w:eastAsia="CESI黑体-GB2312" w:cs="CESI黑体-GB2312"/>
                <w:bCs/>
                <w:szCs w:val="24"/>
              </w:rPr>
            </w:pPr>
            <w:r>
              <w:rPr>
                <w:rFonts w:hint="default" w:ascii="CESI黑体-GB2312" w:hAnsi="CESI黑体-GB2312" w:eastAsia="CESI黑体-GB2312" w:cs="CESI黑体-GB2312"/>
                <w:bCs/>
                <w:szCs w:val="24"/>
              </w:rPr>
              <w:t>没收非法财物</w:t>
            </w:r>
          </w:p>
        </w:tc>
        <w:tc>
          <w:tcPr>
            <w:tcW w:w="885" w:type="dxa"/>
            <w:noWrap/>
            <w:tcMar>
              <w:top w:w="0" w:type="dxa"/>
              <w:left w:w="84" w:type="dxa"/>
              <w:bottom w:w="0" w:type="dxa"/>
              <w:right w:w="84" w:type="dxa"/>
            </w:tcMar>
            <w:vAlign w:val="center"/>
          </w:tcPr>
          <w:p w14:paraId="567D436F">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黑体-GB2312" w:hAnsi="CESI黑体-GB2312" w:eastAsia="CESI黑体-GB2312" w:cs="CESI黑体-GB2312"/>
                <w:bCs/>
                <w:szCs w:val="24"/>
              </w:rPr>
            </w:pPr>
            <w:r>
              <w:rPr>
                <w:rFonts w:hint="default" w:ascii="CESI黑体-GB2312" w:hAnsi="CESI黑体-GB2312" w:eastAsia="CESI黑体-GB2312" w:cs="CESI黑体-GB2312"/>
                <w:bCs/>
                <w:szCs w:val="24"/>
              </w:rPr>
              <w:t>暂扣许可证件</w:t>
            </w:r>
          </w:p>
        </w:tc>
        <w:tc>
          <w:tcPr>
            <w:tcW w:w="885" w:type="dxa"/>
            <w:noWrap/>
            <w:tcMar>
              <w:top w:w="0" w:type="dxa"/>
              <w:left w:w="84" w:type="dxa"/>
              <w:bottom w:w="0" w:type="dxa"/>
              <w:right w:w="84" w:type="dxa"/>
            </w:tcMar>
            <w:vAlign w:val="center"/>
          </w:tcPr>
          <w:p w14:paraId="756A944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黑体-GB2312" w:hAnsi="CESI黑体-GB2312" w:eastAsia="CESI黑体-GB2312" w:cs="CESI黑体-GB2312"/>
                <w:bCs/>
                <w:szCs w:val="24"/>
              </w:rPr>
            </w:pPr>
            <w:r>
              <w:rPr>
                <w:rFonts w:hint="default" w:ascii="CESI黑体-GB2312" w:hAnsi="CESI黑体-GB2312" w:eastAsia="CESI黑体-GB2312" w:cs="CESI黑体-GB2312"/>
                <w:bCs/>
                <w:szCs w:val="24"/>
              </w:rPr>
              <w:t>降低资质等级</w:t>
            </w:r>
          </w:p>
        </w:tc>
        <w:tc>
          <w:tcPr>
            <w:tcW w:w="1268" w:type="dxa"/>
            <w:noWrap/>
            <w:tcMar>
              <w:top w:w="0" w:type="dxa"/>
              <w:left w:w="84" w:type="dxa"/>
              <w:bottom w:w="0" w:type="dxa"/>
              <w:right w:w="84" w:type="dxa"/>
            </w:tcMar>
            <w:vAlign w:val="center"/>
          </w:tcPr>
          <w:p w14:paraId="569597E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黑体-GB2312" w:hAnsi="CESI黑体-GB2312" w:eastAsia="CESI黑体-GB2312" w:cs="CESI黑体-GB2312"/>
                <w:bCs/>
                <w:szCs w:val="24"/>
              </w:rPr>
            </w:pPr>
            <w:r>
              <w:rPr>
                <w:rFonts w:hint="default" w:ascii="CESI黑体-GB2312" w:hAnsi="CESI黑体-GB2312" w:eastAsia="CESI黑体-GB2312" w:cs="CESI黑体-GB2312"/>
                <w:bCs/>
                <w:szCs w:val="24"/>
              </w:rPr>
              <w:t>吊销许可证件</w:t>
            </w:r>
          </w:p>
        </w:tc>
      </w:tr>
      <w:tr w14:paraId="237916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755" w:hRule="atLeast"/>
          <w:jc w:val="center"/>
        </w:trPr>
        <w:tc>
          <w:tcPr>
            <w:tcW w:w="751" w:type="dxa"/>
            <w:vMerge w:val="restart"/>
            <w:noWrap/>
            <w:tcMar>
              <w:top w:w="0" w:type="dxa"/>
              <w:left w:w="84" w:type="dxa"/>
              <w:bottom w:w="0" w:type="dxa"/>
              <w:right w:w="84" w:type="dxa"/>
            </w:tcMar>
            <w:vAlign w:val="center"/>
          </w:tcPr>
          <w:p w14:paraId="42AB4A26">
            <w:pPr>
              <w:pStyle w:val="2"/>
              <w:widowControl/>
              <w:spacing w:before="0" w:beforeAutospacing="0" w:after="0" w:afterAutospacing="0" w:line="400" w:lineRule="exact"/>
              <w:jc w:val="center"/>
              <w:rPr>
                <w:rFonts w:hint="eastAsia" w:ascii="CESI仿宋-GB2312" w:hAnsi="CESI仿宋-GB2312" w:eastAsia="CESI仿宋-GB2312" w:cs="CESI仿宋-GB2312"/>
                <w:szCs w:val="24"/>
                <w:lang w:eastAsia="zh-CN"/>
              </w:rPr>
            </w:pPr>
            <w:r>
              <w:rPr>
                <w:rFonts w:hint="eastAsia" w:ascii="CESI仿宋-GB2312" w:hAnsi="CESI仿宋-GB2312" w:eastAsia="CESI仿宋-GB2312" w:cs="CESI仿宋-GB2312"/>
                <w:szCs w:val="24"/>
                <w:lang w:eastAsia="zh-CN"/>
              </w:rPr>
              <w:t>广水市住房和城乡建设局</w:t>
            </w:r>
          </w:p>
        </w:tc>
        <w:tc>
          <w:tcPr>
            <w:tcW w:w="937" w:type="dxa"/>
            <w:noWrap/>
            <w:tcMar>
              <w:top w:w="0" w:type="dxa"/>
              <w:left w:w="84" w:type="dxa"/>
              <w:bottom w:w="0" w:type="dxa"/>
              <w:right w:w="84" w:type="dxa"/>
            </w:tcMar>
            <w:vAlign w:val="center"/>
          </w:tcPr>
          <w:p w14:paraId="615D662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878" w:type="dxa"/>
            <w:noWrap/>
            <w:tcMar>
              <w:top w:w="0" w:type="dxa"/>
              <w:left w:w="84" w:type="dxa"/>
              <w:bottom w:w="0" w:type="dxa"/>
              <w:right w:w="84" w:type="dxa"/>
            </w:tcMar>
            <w:vAlign w:val="center"/>
          </w:tcPr>
          <w:p w14:paraId="7279C11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952" w:type="dxa"/>
            <w:noWrap/>
            <w:tcMar>
              <w:top w:w="0" w:type="dxa"/>
              <w:left w:w="84" w:type="dxa"/>
              <w:bottom w:w="0" w:type="dxa"/>
              <w:right w:w="84" w:type="dxa"/>
            </w:tcMar>
            <w:vAlign w:val="center"/>
          </w:tcPr>
          <w:p w14:paraId="3F9C5AC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20</w:t>
            </w:r>
          </w:p>
        </w:tc>
        <w:tc>
          <w:tcPr>
            <w:tcW w:w="1065" w:type="dxa"/>
            <w:noWrap/>
            <w:tcMar>
              <w:top w:w="0" w:type="dxa"/>
              <w:left w:w="84" w:type="dxa"/>
              <w:bottom w:w="0" w:type="dxa"/>
              <w:right w:w="84" w:type="dxa"/>
            </w:tcMar>
            <w:vAlign w:val="center"/>
          </w:tcPr>
          <w:p w14:paraId="4D2DE43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1</w:t>
            </w:r>
          </w:p>
        </w:tc>
        <w:tc>
          <w:tcPr>
            <w:tcW w:w="795" w:type="dxa"/>
            <w:noWrap/>
            <w:tcMar>
              <w:top w:w="0" w:type="dxa"/>
              <w:left w:w="84" w:type="dxa"/>
              <w:bottom w:w="0" w:type="dxa"/>
              <w:right w:w="84" w:type="dxa"/>
            </w:tcMar>
            <w:vAlign w:val="center"/>
          </w:tcPr>
          <w:p w14:paraId="6B85266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885" w:type="dxa"/>
            <w:noWrap/>
            <w:tcMar>
              <w:top w:w="0" w:type="dxa"/>
              <w:left w:w="84" w:type="dxa"/>
              <w:bottom w:w="0" w:type="dxa"/>
              <w:right w:w="84" w:type="dxa"/>
            </w:tcMar>
            <w:vAlign w:val="center"/>
          </w:tcPr>
          <w:p w14:paraId="0203FBD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885" w:type="dxa"/>
            <w:noWrap/>
            <w:tcMar>
              <w:top w:w="0" w:type="dxa"/>
              <w:left w:w="84" w:type="dxa"/>
              <w:bottom w:w="0" w:type="dxa"/>
              <w:right w:w="84" w:type="dxa"/>
            </w:tcMar>
            <w:vAlign w:val="center"/>
          </w:tcPr>
          <w:p w14:paraId="36A26BC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1268" w:type="dxa"/>
            <w:noWrap/>
            <w:tcMar>
              <w:top w:w="0" w:type="dxa"/>
              <w:left w:w="84" w:type="dxa"/>
              <w:bottom w:w="0" w:type="dxa"/>
              <w:right w:w="84" w:type="dxa"/>
            </w:tcMar>
            <w:vAlign w:val="center"/>
          </w:tcPr>
          <w:p w14:paraId="1DE219C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r>
      <w:tr w14:paraId="7AC7EB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755" w:hRule="atLeast"/>
          <w:jc w:val="center"/>
        </w:trPr>
        <w:tc>
          <w:tcPr>
            <w:tcW w:w="751" w:type="dxa"/>
            <w:vMerge w:val="continue"/>
            <w:noWrap/>
            <w:tcMar>
              <w:top w:w="0" w:type="dxa"/>
              <w:left w:w="84" w:type="dxa"/>
              <w:bottom w:w="0" w:type="dxa"/>
              <w:right w:w="84" w:type="dxa"/>
            </w:tcMar>
            <w:vAlign w:val="center"/>
          </w:tcPr>
          <w:p w14:paraId="5487BB02">
            <w:pPr>
              <w:pStyle w:val="2"/>
              <w:widowControl/>
              <w:spacing w:before="0" w:beforeAutospacing="0" w:after="0" w:afterAutospacing="0" w:line="400" w:lineRule="exact"/>
              <w:jc w:val="center"/>
              <w:rPr>
                <w:rFonts w:hint="eastAsia" w:ascii="CESI仿宋-GB2312" w:hAnsi="CESI仿宋-GB2312" w:eastAsia="CESI仿宋-GB2312" w:cs="CESI仿宋-GB2312"/>
                <w:szCs w:val="24"/>
              </w:rPr>
            </w:pPr>
          </w:p>
        </w:tc>
        <w:tc>
          <w:tcPr>
            <w:tcW w:w="937" w:type="dxa"/>
            <w:noWrap/>
            <w:tcMar>
              <w:top w:w="0" w:type="dxa"/>
              <w:left w:w="84" w:type="dxa"/>
              <w:bottom w:w="0" w:type="dxa"/>
              <w:right w:w="84" w:type="dxa"/>
            </w:tcMar>
            <w:vAlign w:val="center"/>
          </w:tcPr>
          <w:p w14:paraId="289DC68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szCs w:val="24"/>
              </w:rPr>
            </w:pPr>
            <w:r>
              <w:rPr>
                <w:rFonts w:hint="eastAsia" w:ascii="CESI黑体-GB2312" w:hAnsi="CESI黑体-GB2312" w:eastAsia="CESI黑体-GB2312" w:cs="CESI黑体-GB2312"/>
                <w:bCs/>
                <w:szCs w:val="24"/>
              </w:rPr>
              <w:t>限制开展生产经营活动</w:t>
            </w:r>
          </w:p>
        </w:tc>
        <w:tc>
          <w:tcPr>
            <w:tcW w:w="878" w:type="dxa"/>
            <w:noWrap/>
            <w:tcMar>
              <w:top w:w="0" w:type="dxa"/>
              <w:left w:w="84" w:type="dxa"/>
              <w:bottom w:w="0" w:type="dxa"/>
              <w:right w:w="84" w:type="dxa"/>
            </w:tcMar>
            <w:vAlign w:val="center"/>
          </w:tcPr>
          <w:p w14:paraId="156CFD8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szCs w:val="24"/>
              </w:rPr>
            </w:pPr>
            <w:r>
              <w:rPr>
                <w:rFonts w:hint="eastAsia" w:ascii="CESI黑体-GB2312" w:hAnsi="CESI黑体-GB2312" w:eastAsia="CESI黑体-GB2312" w:cs="CESI黑体-GB2312"/>
                <w:bCs/>
                <w:szCs w:val="24"/>
              </w:rPr>
              <w:t>责令停产停业</w:t>
            </w:r>
          </w:p>
        </w:tc>
        <w:tc>
          <w:tcPr>
            <w:tcW w:w="952" w:type="dxa"/>
            <w:noWrap/>
            <w:tcMar>
              <w:top w:w="0" w:type="dxa"/>
              <w:left w:w="84" w:type="dxa"/>
              <w:bottom w:w="0" w:type="dxa"/>
              <w:right w:w="84" w:type="dxa"/>
            </w:tcMar>
            <w:vAlign w:val="center"/>
          </w:tcPr>
          <w:p w14:paraId="43497C4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szCs w:val="24"/>
              </w:rPr>
            </w:pPr>
            <w:r>
              <w:rPr>
                <w:rFonts w:hint="eastAsia" w:ascii="CESI黑体-GB2312" w:hAnsi="CESI黑体-GB2312" w:eastAsia="CESI黑体-GB2312" w:cs="CESI黑体-GB2312"/>
                <w:szCs w:val="24"/>
              </w:rPr>
              <w:t>责令关闭</w:t>
            </w:r>
          </w:p>
        </w:tc>
        <w:tc>
          <w:tcPr>
            <w:tcW w:w="1065" w:type="dxa"/>
            <w:noWrap/>
            <w:tcMar>
              <w:top w:w="0" w:type="dxa"/>
              <w:left w:w="84" w:type="dxa"/>
              <w:bottom w:w="0" w:type="dxa"/>
              <w:right w:w="84" w:type="dxa"/>
            </w:tcMar>
            <w:vAlign w:val="center"/>
          </w:tcPr>
          <w:p w14:paraId="2F3EB19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szCs w:val="24"/>
              </w:rPr>
            </w:pPr>
            <w:r>
              <w:rPr>
                <w:rFonts w:hint="eastAsia" w:ascii="CESI黑体-GB2312" w:hAnsi="CESI黑体-GB2312" w:eastAsia="CESI黑体-GB2312" w:cs="CESI黑体-GB2312"/>
                <w:szCs w:val="24"/>
              </w:rPr>
              <w:t>限制从业</w:t>
            </w:r>
          </w:p>
        </w:tc>
        <w:tc>
          <w:tcPr>
            <w:tcW w:w="795" w:type="dxa"/>
            <w:noWrap/>
            <w:tcMar>
              <w:top w:w="0" w:type="dxa"/>
              <w:left w:w="84" w:type="dxa"/>
              <w:bottom w:w="0" w:type="dxa"/>
              <w:right w:w="84" w:type="dxa"/>
            </w:tcMar>
            <w:vAlign w:val="center"/>
          </w:tcPr>
          <w:p w14:paraId="414DA60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szCs w:val="24"/>
              </w:rPr>
            </w:pPr>
            <w:r>
              <w:rPr>
                <w:rFonts w:hint="eastAsia" w:ascii="CESI黑体-GB2312" w:hAnsi="CESI黑体-GB2312" w:eastAsia="CESI黑体-GB2312" w:cs="CESI黑体-GB2312"/>
                <w:szCs w:val="24"/>
              </w:rPr>
              <w:t>行政拘留</w:t>
            </w:r>
          </w:p>
        </w:tc>
        <w:tc>
          <w:tcPr>
            <w:tcW w:w="885" w:type="dxa"/>
            <w:noWrap/>
            <w:tcMar>
              <w:top w:w="0" w:type="dxa"/>
              <w:left w:w="84" w:type="dxa"/>
              <w:bottom w:w="0" w:type="dxa"/>
              <w:right w:w="84" w:type="dxa"/>
            </w:tcMar>
            <w:vAlign w:val="center"/>
          </w:tcPr>
          <w:p w14:paraId="77CF239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szCs w:val="24"/>
              </w:rPr>
            </w:pPr>
            <w:r>
              <w:rPr>
                <w:rFonts w:hint="eastAsia" w:ascii="CESI黑体-GB2312" w:hAnsi="CESI黑体-GB2312" w:eastAsia="CESI黑体-GB2312" w:cs="CESI黑体-GB2312"/>
                <w:szCs w:val="24"/>
              </w:rPr>
              <w:t>其他行政处罚</w:t>
            </w:r>
          </w:p>
        </w:tc>
        <w:tc>
          <w:tcPr>
            <w:tcW w:w="885" w:type="dxa"/>
            <w:noWrap/>
            <w:tcMar>
              <w:top w:w="0" w:type="dxa"/>
              <w:left w:w="84" w:type="dxa"/>
              <w:bottom w:w="0" w:type="dxa"/>
              <w:right w:w="84" w:type="dxa"/>
            </w:tcMar>
            <w:vAlign w:val="center"/>
          </w:tcPr>
          <w:p w14:paraId="72C9430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szCs w:val="24"/>
              </w:rPr>
            </w:pPr>
            <w:r>
              <w:rPr>
                <w:rFonts w:hint="eastAsia" w:ascii="CESI黑体-GB2312" w:hAnsi="CESI黑体-GB2312" w:eastAsia="CESI黑体-GB2312" w:cs="CESI黑体-GB2312"/>
                <w:szCs w:val="24"/>
              </w:rPr>
              <w:t>合计</w:t>
            </w:r>
          </w:p>
          <w:p w14:paraId="2CC8626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szCs w:val="24"/>
              </w:rPr>
            </w:pPr>
            <w:r>
              <w:rPr>
                <w:rFonts w:hint="eastAsia" w:ascii="CESI黑体-GB2312" w:hAnsi="CESI黑体-GB2312" w:eastAsia="CESI黑体-GB2312" w:cs="CESI黑体-GB2312"/>
                <w:szCs w:val="24"/>
              </w:rPr>
              <w:t>（宗）</w:t>
            </w:r>
          </w:p>
        </w:tc>
        <w:tc>
          <w:tcPr>
            <w:tcW w:w="1268" w:type="dxa"/>
            <w:noWrap/>
            <w:tcMar>
              <w:top w:w="0" w:type="dxa"/>
              <w:left w:w="84" w:type="dxa"/>
              <w:bottom w:w="0" w:type="dxa"/>
              <w:right w:w="84" w:type="dxa"/>
            </w:tcMar>
            <w:vAlign w:val="center"/>
          </w:tcPr>
          <w:p w14:paraId="1AF6416F">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szCs w:val="24"/>
              </w:rPr>
            </w:pPr>
            <w:r>
              <w:rPr>
                <w:rFonts w:hint="eastAsia" w:ascii="CESI黑体-GB2312" w:hAnsi="CESI黑体-GB2312" w:eastAsia="CESI黑体-GB2312" w:cs="CESI黑体-GB2312"/>
                <w:szCs w:val="24"/>
              </w:rPr>
              <w:t>罚没金额（万元）</w:t>
            </w:r>
          </w:p>
        </w:tc>
      </w:tr>
      <w:tr w14:paraId="3F5E86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755" w:hRule="atLeast"/>
          <w:jc w:val="center"/>
        </w:trPr>
        <w:tc>
          <w:tcPr>
            <w:tcW w:w="751" w:type="dxa"/>
            <w:vMerge w:val="continue"/>
            <w:tcBorders>
              <w:bottom w:val="single" w:color="auto" w:sz="12" w:space="0"/>
            </w:tcBorders>
            <w:noWrap/>
            <w:tcMar>
              <w:top w:w="0" w:type="dxa"/>
              <w:left w:w="84" w:type="dxa"/>
              <w:bottom w:w="0" w:type="dxa"/>
              <w:right w:w="84" w:type="dxa"/>
            </w:tcMar>
            <w:vAlign w:val="center"/>
          </w:tcPr>
          <w:p w14:paraId="1EF37A31">
            <w:pPr>
              <w:pStyle w:val="2"/>
              <w:widowControl/>
              <w:spacing w:before="0" w:beforeAutospacing="0" w:after="0" w:afterAutospacing="0" w:line="400" w:lineRule="exact"/>
              <w:jc w:val="center"/>
              <w:rPr>
                <w:rFonts w:hint="eastAsia" w:ascii="CESI仿宋-GB2312" w:hAnsi="CESI仿宋-GB2312" w:eastAsia="CESI仿宋-GB2312" w:cs="CESI仿宋-GB2312"/>
                <w:szCs w:val="24"/>
              </w:rPr>
            </w:pPr>
          </w:p>
        </w:tc>
        <w:tc>
          <w:tcPr>
            <w:tcW w:w="937" w:type="dxa"/>
            <w:tcBorders>
              <w:bottom w:val="single" w:color="auto" w:sz="12" w:space="0"/>
            </w:tcBorders>
            <w:noWrap/>
            <w:tcMar>
              <w:top w:w="0" w:type="dxa"/>
              <w:left w:w="84" w:type="dxa"/>
              <w:bottom w:w="0" w:type="dxa"/>
              <w:right w:w="84" w:type="dxa"/>
            </w:tcMar>
            <w:vAlign w:val="center"/>
          </w:tcPr>
          <w:p w14:paraId="61A0EF65">
            <w:pPr>
              <w:pStyle w:val="2"/>
              <w:widowControl/>
              <w:spacing w:before="0" w:beforeAutospacing="0" w:after="0" w:afterAutospacing="0" w:line="400" w:lineRule="exact"/>
              <w:jc w:val="center"/>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878" w:type="dxa"/>
            <w:tcBorders>
              <w:bottom w:val="single" w:color="auto" w:sz="12" w:space="0"/>
            </w:tcBorders>
            <w:noWrap/>
            <w:tcMar>
              <w:top w:w="0" w:type="dxa"/>
              <w:left w:w="84" w:type="dxa"/>
              <w:bottom w:w="0" w:type="dxa"/>
              <w:right w:w="84" w:type="dxa"/>
            </w:tcMar>
            <w:vAlign w:val="center"/>
          </w:tcPr>
          <w:p w14:paraId="36D957C9">
            <w:pPr>
              <w:pStyle w:val="2"/>
              <w:widowControl/>
              <w:spacing w:before="0" w:beforeAutospacing="0" w:after="0" w:afterAutospacing="0" w:line="400" w:lineRule="exact"/>
              <w:jc w:val="center"/>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952" w:type="dxa"/>
            <w:tcBorders>
              <w:bottom w:val="single" w:color="auto" w:sz="12" w:space="0"/>
            </w:tcBorders>
            <w:noWrap/>
            <w:tcMar>
              <w:top w:w="0" w:type="dxa"/>
              <w:left w:w="84" w:type="dxa"/>
              <w:bottom w:w="0" w:type="dxa"/>
              <w:right w:w="84" w:type="dxa"/>
            </w:tcMar>
            <w:vAlign w:val="center"/>
          </w:tcPr>
          <w:p w14:paraId="42A4C926">
            <w:pPr>
              <w:pStyle w:val="2"/>
              <w:widowControl/>
              <w:spacing w:before="0" w:beforeAutospacing="0" w:after="0" w:afterAutospacing="0" w:line="400" w:lineRule="exact"/>
              <w:jc w:val="center"/>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1065" w:type="dxa"/>
            <w:tcBorders>
              <w:bottom w:val="single" w:color="auto" w:sz="12" w:space="0"/>
            </w:tcBorders>
            <w:noWrap/>
            <w:tcMar>
              <w:top w:w="0" w:type="dxa"/>
              <w:left w:w="84" w:type="dxa"/>
              <w:bottom w:w="0" w:type="dxa"/>
              <w:right w:w="84" w:type="dxa"/>
            </w:tcMar>
            <w:vAlign w:val="center"/>
          </w:tcPr>
          <w:p w14:paraId="71B0EC03">
            <w:pPr>
              <w:pStyle w:val="2"/>
              <w:widowControl/>
              <w:spacing w:before="0" w:beforeAutospacing="0" w:after="0" w:afterAutospacing="0" w:line="400" w:lineRule="exact"/>
              <w:jc w:val="center"/>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795" w:type="dxa"/>
            <w:tcBorders>
              <w:bottom w:val="single" w:color="auto" w:sz="12" w:space="0"/>
            </w:tcBorders>
            <w:noWrap/>
            <w:tcMar>
              <w:top w:w="0" w:type="dxa"/>
              <w:left w:w="84" w:type="dxa"/>
              <w:bottom w:w="0" w:type="dxa"/>
              <w:right w:w="84" w:type="dxa"/>
            </w:tcMar>
            <w:vAlign w:val="center"/>
          </w:tcPr>
          <w:p w14:paraId="08E8B80E">
            <w:pPr>
              <w:pStyle w:val="2"/>
              <w:widowControl/>
              <w:spacing w:before="0" w:beforeAutospacing="0" w:after="0" w:afterAutospacing="0" w:line="400" w:lineRule="exact"/>
              <w:jc w:val="center"/>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885" w:type="dxa"/>
            <w:tcBorders>
              <w:bottom w:val="single" w:color="auto" w:sz="12" w:space="0"/>
            </w:tcBorders>
            <w:noWrap/>
            <w:tcMar>
              <w:top w:w="0" w:type="dxa"/>
              <w:left w:w="84" w:type="dxa"/>
              <w:bottom w:w="0" w:type="dxa"/>
              <w:right w:w="84" w:type="dxa"/>
            </w:tcMar>
            <w:vAlign w:val="center"/>
          </w:tcPr>
          <w:p w14:paraId="286D9BA3">
            <w:pPr>
              <w:pStyle w:val="2"/>
              <w:widowControl/>
              <w:spacing w:before="0" w:beforeAutospacing="0" w:after="0" w:afterAutospacing="0" w:line="400" w:lineRule="exact"/>
              <w:jc w:val="center"/>
              <w:rPr>
                <w:rFonts w:hint="eastAsia"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0</w:t>
            </w:r>
          </w:p>
        </w:tc>
        <w:tc>
          <w:tcPr>
            <w:tcW w:w="885" w:type="dxa"/>
            <w:tcBorders>
              <w:bottom w:val="single" w:color="auto" w:sz="12" w:space="0"/>
            </w:tcBorders>
            <w:noWrap/>
            <w:tcMar>
              <w:top w:w="0" w:type="dxa"/>
              <w:left w:w="84" w:type="dxa"/>
              <w:bottom w:w="0" w:type="dxa"/>
              <w:right w:w="84" w:type="dxa"/>
            </w:tcMar>
            <w:vAlign w:val="center"/>
          </w:tcPr>
          <w:p w14:paraId="5A2F6559">
            <w:pPr>
              <w:pStyle w:val="2"/>
              <w:widowControl/>
              <w:spacing w:before="0" w:beforeAutospacing="0" w:after="0" w:afterAutospacing="0" w:line="400" w:lineRule="exact"/>
              <w:jc w:val="center"/>
              <w:rPr>
                <w:rFonts w:hint="default"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20</w:t>
            </w:r>
          </w:p>
        </w:tc>
        <w:tc>
          <w:tcPr>
            <w:tcW w:w="1268" w:type="dxa"/>
            <w:tcBorders>
              <w:bottom w:val="single" w:color="auto" w:sz="12" w:space="0"/>
            </w:tcBorders>
            <w:noWrap/>
            <w:tcMar>
              <w:top w:w="0" w:type="dxa"/>
              <w:left w:w="84" w:type="dxa"/>
              <w:bottom w:w="0" w:type="dxa"/>
              <w:right w:w="84" w:type="dxa"/>
            </w:tcMar>
            <w:vAlign w:val="center"/>
          </w:tcPr>
          <w:p w14:paraId="19DC3EF4">
            <w:pPr>
              <w:pStyle w:val="2"/>
              <w:widowControl/>
              <w:spacing w:before="0" w:beforeAutospacing="0" w:after="0" w:afterAutospacing="0" w:line="400" w:lineRule="exact"/>
              <w:jc w:val="center"/>
              <w:rPr>
                <w:rFonts w:hint="default" w:ascii="CESI仿宋-GB2312" w:hAnsi="CESI仿宋-GB2312" w:eastAsia="CESI仿宋-GB2312" w:cs="CESI仿宋-GB2312"/>
                <w:szCs w:val="24"/>
                <w:lang w:val="en-US" w:eastAsia="zh-CN"/>
              </w:rPr>
            </w:pPr>
            <w:r>
              <w:rPr>
                <w:rFonts w:hint="eastAsia" w:ascii="CESI仿宋-GB2312" w:hAnsi="CESI仿宋-GB2312" w:eastAsia="CESI仿宋-GB2312" w:cs="CESI仿宋-GB2312"/>
                <w:szCs w:val="24"/>
                <w:lang w:val="en-US" w:eastAsia="zh-CN"/>
              </w:rPr>
              <w:t>320.3338</w:t>
            </w:r>
          </w:p>
        </w:tc>
      </w:tr>
    </w:tbl>
    <w:p w14:paraId="12A089A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firstLine="462" w:firstLineChars="200"/>
        <w:jc w:val="both"/>
        <w:textAlignment w:val="auto"/>
        <w:rPr>
          <w:rFonts w:hint="eastAsia" w:ascii="CESI仿宋-GB2312" w:hAnsi="CESI仿宋-GB2312" w:eastAsia="CESI仿宋-GB2312" w:cs="CESI仿宋-GB2312"/>
          <w:b/>
          <w:bCs/>
          <w:sz w:val="23"/>
          <w:szCs w:val="23"/>
        </w:rPr>
      </w:pPr>
      <w:r>
        <w:rPr>
          <w:rFonts w:hint="eastAsia" w:ascii="仿宋_GB2312" w:hAnsi="仿宋_GB2312" w:eastAsia="仿宋_GB2312" w:cs="仿宋_GB2312"/>
          <w:b/>
          <w:bCs/>
          <w:sz w:val="23"/>
          <w:szCs w:val="23"/>
        </w:rPr>
        <w:t>说明：</w:t>
      </w:r>
      <w:r>
        <w:rPr>
          <w:rFonts w:hint="eastAsia" w:ascii="仿宋_GB2312" w:hAnsi="仿宋_GB2312" w:eastAsia="仿宋_GB2312" w:cs="仿宋_GB2312"/>
          <w:sz w:val="23"/>
          <w:szCs w:val="23"/>
        </w:rPr>
        <w:t>1.行政处罚实施数量的统计范围为统计年度1月1日至12月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作出行政处罚决定的数量。2.单处一个类别行政处罚的，计入相应的行政处罚类别；并处两种以上行政处罚的，算一宗行政处罚，计入表格排序在后的行政处罚类别。如“没收违法所得，并处罚款”，计入“没收违法所得”类别；并处明确类别的行政处罚和其他行政处罚的，计入明确类别的行政处罚，如“处罚款，并处其他行政处罚”，计入“罚款”类别。行政处罚类别表格排序：（1）警告；（2）通报批评；（3）罚款；（4）没收违法所得；（5）没收非法财物；（6）暂扣许可证件；（7）降低资质等级；（8）吊销许可证件；（9）限制开展生产经营活动；（10）责令停产停业；（11）责令关闭；（12）限制从业；（13）行政拘留；（14）其他行政处罚。3.“没收非法财物”能通过评估、拍卖等手段确定金额的，计入“罚没金额”；不能确定金额的，不计入“罚没金额”。4.“罚没金额”以处罚决定书确定的金额为准。</w:t>
      </w:r>
    </w:p>
    <w:p w14:paraId="767D5611">
      <w:pPr>
        <w:pStyle w:val="2"/>
        <w:widowControl/>
        <w:spacing w:before="180" w:beforeAutospacing="0" w:after="0" w:afterAutospacing="0" w:line="368" w:lineRule="atLeast"/>
        <w:jc w:val="both"/>
        <w:rPr>
          <w:rFonts w:hint="eastAsia" w:ascii="CESI楷体-GB2312" w:hAnsi="CESI楷体-GB2312" w:eastAsia="CESI楷体-GB2312" w:cs="CESI楷体-GB2312"/>
          <w:b w:val="0"/>
          <w:bCs w:val="0"/>
          <w:sz w:val="16"/>
          <w:szCs w:val="16"/>
        </w:rPr>
      </w:pPr>
      <w:r>
        <w:rPr>
          <w:rFonts w:hint="eastAsia" w:ascii="CESI楷体-GB2312" w:hAnsi="CESI楷体-GB2312" w:eastAsia="CESI楷体-GB2312" w:cs="CESI楷体-GB2312"/>
          <w:b w:val="0"/>
          <w:bCs w:val="0"/>
          <w:sz w:val="32"/>
          <w:szCs w:val="32"/>
        </w:rPr>
        <w:t>（二）202</w:t>
      </w:r>
      <w:r>
        <w:rPr>
          <w:rFonts w:hint="eastAsia" w:ascii="CESI楷体-GB2312" w:hAnsi="CESI楷体-GB2312" w:eastAsia="CESI楷体-GB2312" w:cs="CESI楷体-GB2312"/>
          <w:b w:val="0"/>
          <w:bCs w:val="0"/>
          <w:sz w:val="32"/>
          <w:szCs w:val="32"/>
          <w:lang w:val="en-US" w:eastAsia="zh-CN"/>
        </w:rPr>
        <w:t>4</w:t>
      </w:r>
      <w:r>
        <w:rPr>
          <w:rFonts w:hint="eastAsia" w:ascii="CESI楷体-GB2312" w:hAnsi="CESI楷体-GB2312" w:eastAsia="CESI楷体-GB2312" w:cs="CESI楷体-GB2312"/>
          <w:b w:val="0"/>
          <w:bCs w:val="0"/>
          <w:sz w:val="32"/>
          <w:szCs w:val="32"/>
        </w:rPr>
        <w:t>年行政许可实施情况统计表</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15" w:type="dxa"/>
          <w:left w:w="15" w:type="dxa"/>
          <w:bottom w:w="15" w:type="dxa"/>
          <w:right w:w="15" w:type="dxa"/>
        </w:tblCellMar>
      </w:tblPr>
      <w:tblGrid>
        <w:gridCol w:w="1327"/>
        <w:gridCol w:w="1543"/>
        <w:gridCol w:w="1599"/>
        <w:gridCol w:w="1545"/>
        <w:gridCol w:w="1494"/>
        <w:gridCol w:w="1448"/>
      </w:tblGrid>
      <w:tr w14:paraId="7BC16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20" w:hRule="atLeast"/>
          <w:jc w:val="center"/>
        </w:trPr>
        <w:tc>
          <w:tcPr>
            <w:tcW w:w="8956" w:type="dxa"/>
            <w:gridSpan w:val="6"/>
            <w:tcBorders>
              <w:top w:val="single" w:color="auto" w:sz="12" w:space="0"/>
            </w:tcBorders>
            <w:noWrap/>
            <w:tcMar>
              <w:top w:w="0" w:type="dxa"/>
              <w:left w:w="84" w:type="dxa"/>
              <w:bottom w:w="0" w:type="dxa"/>
              <w:right w:w="84" w:type="dxa"/>
            </w:tcMar>
            <w:vAlign w:val="center"/>
          </w:tcPr>
          <w:p w14:paraId="76DBEDA7">
            <w:pPr>
              <w:pStyle w:val="2"/>
              <w:widowControl/>
              <w:spacing w:before="0" w:beforeAutospacing="0" w:after="0" w:afterAutospacing="0" w:line="420" w:lineRule="exact"/>
              <w:jc w:val="center"/>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行政许可实施数量（宗）</w:t>
            </w:r>
          </w:p>
        </w:tc>
      </w:tr>
      <w:tr w14:paraId="4D6160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710" w:hRule="atLeast"/>
          <w:jc w:val="center"/>
        </w:trPr>
        <w:tc>
          <w:tcPr>
            <w:tcW w:w="1327" w:type="dxa"/>
            <w:noWrap/>
            <w:tcMar>
              <w:top w:w="0" w:type="dxa"/>
              <w:left w:w="84" w:type="dxa"/>
              <w:bottom w:w="0" w:type="dxa"/>
              <w:right w:w="84" w:type="dxa"/>
            </w:tcMar>
            <w:vAlign w:val="center"/>
          </w:tcPr>
          <w:p w14:paraId="40CE9204">
            <w:pPr>
              <w:pStyle w:val="2"/>
              <w:widowControl/>
              <w:spacing w:before="0" w:beforeAutospacing="0" w:after="0" w:afterAutospacing="0" w:line="420" w:lineRule="exact"/>
              <w:jc w:val="center"/>
              <w:rPr>
                <w:rFonts w:hint="default"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单位</w:t>
            </w:r>
            <w:r>
              <w:rPr>
                <w:rStyle w:val="5"/>
                <w:rFonts w:hint="default" w:ascii="CESI黑体-GB2312" w:hAnsi="CESI黑体-GB2312" w:eastAsia="CESI黑体-GB2312" w:cs="CESI黑体-GB2312"/>
                <w:b w:val="0"/>
                <w:bCs/>
                <w:szCs w:val="24"/>
              </w:rPr>
              <w:t>名称</w:t>
            </w:r>
          </w:p>
        </w:tc>
        <w:tc>
          <w:tcPr>
            <w:tcW w:w="1543" w:type="dxa"/>
            <w:noWrap/>
            <w:tcMar>
              <w:top w:w="0" w:type="dxa"/>
              <w:left w:w="84" w:type="dxa"/>
              <w:bottom w:w="0" w:type="dxa"/>
              <w:right w:w="84" w:type="dxa"/>
            </w:tcMar>
            <w:vAlign w:val="center"/>
          </w:tcPr>
          <w:p w14:paraId="519AC1E8">
            <w:pPr>
              <w:pStyle w:val="2"/>
              <w:widowControl/>
              <w:spacing w:before="0" w:beforeAutospacing="0" w:after="0" w:afterAutospacing="0" w:line="420" w:lineRule="exact"/>
              <w:jc w:val="center"/>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申请数量</w:t>
            </w:r>
          </w:p>
        </w:tc>
        <w:tc>
          <w:tcPr>
            <w:tcW w:w="1599" w:type="dxa"/>
            <w:noWrap/>
            <w:tcMar>
              <w:top w:w="0" w:type="dxa"/>
              <w:left w:w="84" w:type="dxa"/>
              <w:bottom w:w="0" w:type="dxa"/>
              <w:right w:w="84" w:type="dxa"/>
            </w:tcMar>
            <w:vAlign w:val="center"/>
          </w:tcPr>
          <w:p w14:paraId="31FAC96B">
            <w:pPr>
              <w:pStyle w:val="2"/>
              <w:widowControl/>
              <w:spacing w:before="0" w:beforeAutospacing="0" w:after="0" w:afterAutospacing="0" w:line="420" w:lineRule="exact"/>
              <w:jc w:val="center"/>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受理数量</w:t>
            </w:r>
          </w:p>
        </w:tc>
        <w:tc>
          <w:tcPr>
            <w:tcW w:w="1545" w:type="dxa"/>
            <w:noWrap/>
            <w:tcMar>
              <w:top w:w="0" w:type="dxa"/>
              <w:left w:w="84" w:type="dxa"/>
              <w:bottom w:w="0" w:type="dxa"/>
              <w:right w:w="84" w:type="dxa"/>
            </w:tcMar>
            <w:vAlign w:val="center"/>
          </w:tcPr>
          <w:p w14:paraId="2551C00B">
            <w:pPr>
              <w:pStyle w:val="2"/>
              <w:widowControl/>
              <w:spacing w:before="0" w:beforeAutospacing="0" w:after="0" w:afterAutospacing="0" w:line="420" w:lineRule="exact"/>
              <w:jc w:val="center"/>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许可数量</w:t>
            </w:r>
          </w:p>
        </w:tc>
        <w:tc>
          <w:tcPr>
            <w:tcW w:w="1494" w:type="dxa"/>
            <w:noWrap/>
            <w:tcMar>
              <w:top w:w="0" w:type="dxa"/>
              <w:left w:w="84" w:type="dxa"/>
              <w:bottom w:w="0" w:type="dxa"/>
              <w:right w:w="84" w:type="dxa"/>
            </w:tcMar>
            <w:vAlign w:val="center"/>
          </w:tcPr>
          <w:p w14:paraId="66E3C7B9">
            <w:pPr>
              <w:pStyle w:val="2"/>
              <w:widowControl/>
              <w:spacing w:before="0" w:beforeAutospacing="0" w:after="0" w:afterAutospacing="0" w:line="420" w:lineRule="exact"/>
              <w:jc w:val="center"/>
              <w:rPr>
                <w:rStyle w:val="5"/>
                <w:rFonts w:hint="eastAsia" w:ascii="CESI黑体-GB2312" w:hAnsi="CESI黑体-GB2312" w:eastAsia="CESI黑体-GB2312" w:cs="CESI黑体-GB2312"/>
                <w:b w:val="0"/>
                <w:bCs/>
                <w:szCs w:val="24"/>
              </w:rPr>
            </w:pPr>
            <w:r>
              <w:rPr>
                <w:rStyle w:val="5"/>
                <w:rFonts w:hint="eastAsia" w:ascii="CESI黑体-GB2312" w:hAnsi="CESI黑体-GB2312" w:eastAsia="CESI黑体-GB2312" w:cs="CESI黑体-GB2312"/>
                <w:b w:val="0"/>
                <w:bCs/>
                <w:szCs w:val="24"/>
              </w:rPr>
              <w:t>不予许可</w:t>
            </w:r>
          </w:p>
          <w:p w14:paraId="19804293">
            <w:pPr>
              <w:pStyle w:val="2"/>
              <w:widowControl/>
              <w:spacing w:before="0" w:beforeAutospacing="0" w:after="0" w:afterAutospacing="0" w:line="420" w:lineRule="exact"/>
              <w:jc w:val="center"/>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数量</w:t>
            </w:r>
          </w:p>
        </w:tc>
        <w:tc>
          <w:tcPr>
            <w:tcW w:w="1448" w:type="dxa"/>
            <w:noWrap/>
            <w:tcMar>
              <w:top w:w="0" w:type="dxa"/>
              <w:left w:w="84" w:type="dxa"/>
              <w:bottom w:w="0" w:type="dxa"/>
              <w:right w:w="84" w:type="dxa"/>
            </w:tcMar>
            <w:vAlign w:val="center"/>
          </w:tcPr>
          <w:p w14:paraId="50D8BCA5">
            <w:pPr>
              <w:pStyle w:val="2"/>
              <w:widowControl/>
              <w:spacing w:before="0" w:beforeAutospacing="0" w:after="0" w:afterAutospacing="0" w:line="420" w:lineRule="exact"/>
              <w:jc w:val="center"/>
              <w:rPr>
                <w:rStyle w:val="5"/>
                <w:rFonts w:hint="eastAsia" w:ascii="CESI黑体-GB2312" w:hAnsi="CESI黑体-GB2312" w:eastAsia="CESI黑体-GB2312" w:cs="CESI黑体-GB2312"/>
                <w:b w:val="0"/>
                <w:bCs/>
                <w:szCs w:val="24"/>
              </w:rPr>
            </w:pPr>
            <w:r>
              <w:rPr>
                <w:rStyle w:val="5"/>
                <w:rFonts w:hint="eastAsia" w:ascii="CESI黑体-GB2312" w:hAnsi="CESI黑体-GB2312" w:eastAsia="CESI黑体-GB2312" w:cs="CESI黑体-GB2312"/>
                <w:b w:val="0"/>
                <w:bCs/>
                <w:szCs w:val="24"/>
              </w:rPr>
              <w:t>撤销许可</w:t>
            </w:r>
          </w:p>
          <w:p w14:paraId="3AD22945">
            <w:pPr>
              <w:pStyle w:val="2"/>
              <w:widowControl/>
              <w:spacing w:before="0" w:beforeAutospacing="0" w:after="0" w:afterAutospacing="0" w:line="420" w:lineRule="exact"/>
              <w:jc w:val="center"/>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数量</w:t>
            </w:r>
          </w:p>
        </w:tc>
      </w:tr>
      <w:tr w14:paraId="0B1535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46" w:hRule="atLeast"/>
          <w:jc w:val="center"/>
        </w:trPr>
        <w:tc>
          <w:tcPr>
            <w:tcW w:w="1327" w:type="dxa"/>
            <w:tcBorders>
              <w:bottom w:val="single" w:color="auto" w:sz="12" w:space="0"/>
            </w:tcBorders>
            <w:noWrap/>
            <w:tcMar>
              <w:top w:w="0" w:type="dxa"/>
              <w:left w:w="84" w:type="dxa"/>
              <w:bottom w:w="0" w:type="dxa"/>
              <w:right w:w="84" w:type="dxa"/>
            </w:tcMar>
            <w:vAlign w:val="center"/>
          </w:tcPr>
          <w:p w14:paraId="2E8A199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仿宋-GB2312" w:hAnsi="CESI仿宋-GB2312" w:eastAsia="CESI仿宋-GB2312" w:cs="CESI仿宋-GB2312"/>
                <w:sz w:val="16"/>
                <w:szCs w:val="16"/>
                <w:lang w:eastAsia="zh-CN"/>
              </w:rPr>
            </w:pPr>
            <w:r>
              <w:rPr>
                <w:rFonts w:hint="eastAsia" w:ascii="CESI仿宋-GB2312" w:hAnsi="CESI仿宋-GB2312" w:eastAsia="CESI仿宋-GB2312" w:cs="CESI仿宋-GB2312"/>
                <w:sz w:val="24"/>
                <w:szCs w:val="24"/>
                <w:lang w:eastAsia="zh-CN"/>
              </w:rPr>
              <w:t>广水市住房和城乡建设局</w:t>
            </w:r>
          </w:p>
        </w:tc>
        <w:tc>
          <w:tcPr>
            <w:tcW w:w="1543" w:type="dxa"/>
            <w:tcBorders>
              <w:bottom w:val="single" w:color="auto" w:sz="12" w:space="0"/>
            </w:tcBorders>
            <w:noWrap/>
            <w:tcMar>
              <w:top w:w="0" w:type="dxa"/>
              <w:left w:w="84" w:type="dxa"/>
              <w:bottom w:w="0" w:type="dxa"/>
              <w:right w:w="84" w:type="dxa"/>
            </w:tcMar>
            <w:vAlign w:val="center"/>
          </w:tcPr>
          <w:p w14:paraId="55DC2FC0">
            <w:pPr>
              <w:pStyle w:val="2"/>
              <w:widowControl/>
              <w:spacing w:before="0" w:beforeAutospacing="0" w:after="0" w:afterAutospacing="0" w:line="420" w:lineRule="exact"/>
              <w:jc w:val="center"/>
              <w:rPr>
                <w:rFonts w:hint="default"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179</w:t>
            </w:r>
          </w:p>
        </w:tc>
        <w:tc>
          <w:tcPr>
            <w:tcW w:w="1599" w:type="dxa"/>
            <w:tcBorders>
              <w:bottom w:val="single" w:color="auto" w:sz="12" w:space="0"/>
            </w:tcBorders>
            <w:noWrap/>
            <w:tcMar>
              <w:top w:w="0" w:type="dxa"/>
              <w:left w:w="84" w:type="dxa"/>
              <w:bottom w:w="0" w:type="dxa"/>
              <w:right w:w="84" w:type="dxa"/>
            </w:tcMar>
            <w:vAlign w:val="center"/>
          </w:tcPr>
          <w:p w14:paraId="3D2E2956">
            <w:pPr>
              <w:pStyle w:val="2"/>
              <w:widowControl/>
              <w:spacing w:before="0" w:beforeAutospacing="0" w:after="0" w:afterAutospacing="0" w:line="420" w:lineRule="exact"/>
              <w:jc w:val="center"/>
              <w:rPr>
                <w:rFonts w:hint="default"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179</w:t>
            </w:r>
          </w:p>
        </w:tc>
        <w:tc>
          <w:tcPr>
            <w:tcW w:w="1545" w:type="dxa"/>
            <w:tcBorders>
              <w:bottom w:val="single" w:color="auto" w:sz="12" w:space="0"/>
            </w:tcBorders>
            <w:noWrap/>
            <w:tcMar>
              <w:top w:w="0" w:type="dxa"/>
              <w:left w:w="84" w:type="dxa"/>
              <w:bottom w:w="0" w:type="dxa"/>
              <w:right w:w="84" w:type="dxa"/>
            </w:tcMar>
            <w:vAlign w:val="center"/>
          </w:tcPr>
          <w:p w14:paraId="67EAF44C">
            <w:pPr>
              <w:pStyle w:val="2"/>
              <w:widowControl/>
              <w:spacing w:before="0" w:beforeAutospacing="0" w:after="0" w:afterAutospacing="0" w:line="420" w:lineRule="exact"/>
              <w:jc w:val="center"/>
              <w:rPr>
                <w:rFonts w:hint="default"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179</w:t>
            </w:r>
          </w:p>
        </w:tc>
        <w:tc>
          <w:tcPr>
            <w:tcW w:w="1494" w:type="dxa"/>
            <w:tcBorders>
              <w:bottom w:val="single" w:color="auto" w:sz="12" w:space="0"/>
            </w:tcBorders>
            <w:noWrap/>
            <w:tcMar>
              <w:top w:w="0" w:type="dxa"/>
              <w:left w:w="84" w:type="dxa"/>
              <w:bottom w:w="0" w:type="dxa"/>
              <w:right w:w="84" w:type="dxa"/>
            </w:tcMar>
            <w:vAlign w:val="center"/>
          </w:tcPr>
          <w:p w14:paraId="4925692F">
            <w:pPr>
              <w:pStyle w:val="2"/>
              <w:widowControl/>
              <w:spacing w:before="0" w:beforeAutospacing="0" w:after="0" w:afterAutospacing="0" w:line="420" w:lineRule="exact"/>
              <w:jc w:val="center"/>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0</w:t>
            </w:r>
          </w:p>
        </w:tc>
        <w:tc>
          <w:tcPr>
            <w:tcW w:w="1448" w:type="dxa"/>
            <w:tcBorders>
              <w:bottom w:val="single" w:color="auto" w:sz="12" w:space="0"/>
            </w:tcBorders>
            <w:noWrap/>
            <w:tcMar>
              <w:top w:w="0" w:type="dxa"/>
              <w:left w:w="84" w:type="dxa"/>
              <w:bottom w:w="0" w:type="dxa"/>
              <w:right w:w="84" w:type="dxa"/>
            </w:tcMar>
            <w:vAlign w:val="center"/>
          </w:tcPr>
          <w:p w14:paraId="430C604F">
            <w:pPr>
              <w:pStyle w:val="2"/>
              <w:widowControl/>
              <w:spacing w:before="0" w:beforeAutospacing="0" w:after="0" w:afterAutospacing="0" w:line="420" w:lineRule="exact"/>
              <w:jc w:val="center"/>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val="en-US" w:eastAsia="zh-CN"/>
              </w:rPr>
              <w:t>0</w:t>
            </w:r>
          </w:p>
        </w:tc>
      </w:tr>
    </w:tbl>
    <w:p w14:paraId="41F0E2D7">
      <w:pPr>
        <w:pStyle w:val="2"/>
        <w:widowControl/>
        <w:spacing w:before="0" w:beforeAutospacing="0" w:after="0" w:afterAutospacing="0" w:line="360" w:lineRule="exact"/>
        <w:ind w:firstLine="462" w:firstLineChars="200"/>
        <w:jc w:val="both"/>
        <w:rPr>
          <w:rFonts w:hint="eastAsia" w:ascii="CESI仿宋-GB2312" w:hAnsi="CESI仿宋-GB2312" w:eastAsia="CESI仿宋-GB2312" w:cs="CESI仿宋-GB2312"/>
          <w:sz w:val="23"/>
          <w:szCs w:val="23"/>
        </w:rPr>
      </w:pPr>
      <w:r>
        <w:rPr>
          <w:rFonts w:hint="eastAsia" w:ascii="仿宋_GB2312" w:hAnsi="仿宋_GB2312" w:eastAsia="仿宋_GB2312" w:cs="仿宋_GB2312"/>
          <w:b/>
          <w:bCs/>
          <w:sz w:val="23"/>
          <w:szCs w:val="23"/>
        </w:rPr>
        <w:t>说明：</w:t>
      </w:r>
      <w:r>
        <w:rPr>
          <w:rFonts w:hint="eastAsia" w:ascii="仿宋_GB2312" w:hAnsi="仿宋_GB2312" w:eastAsia="仿宋_GB2312" w:cs="仿宋_GB2312"/>
          <w:sz w:val="23"/>
          <w:szCs w:val="23"/>
        </w:rPr>
        <w:t>1.“申请数量”的统计范围为统计年度1月1日至12月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期间许可机关收到当事人许可申请的数量。2.“受理数量”、“许可数量”、“不予许可数量”、“撤销许可数量”的统计范围为统计年度1月1日至12月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期间许可机关作出受理决定、许可决定、不予许可决定和撤销许可决定的数量。</w:t>
      </w:r>
    </w:p>
    <w:p w14:paraId="4C95308B">
      <w:pPr>
        <w:pStyle w:val="2"/>
        <w:widowControl/>
        <w:spacing w:before="180" w:beforeAutospacing="0" w:after="0" w:afterAutospacing="0" w:line="368" w:lineRule="atLeast"/>
        <w:jc w:val="both"/>
        <w:rPr>
          <w:rFonts w:hint="eastAsia" w:ascii="CESI楷体-GB2312" w:hAnsi="CESI楷体-GB2312" w:eastAsia="CESI楷体-GB2312" w:cs="CESI楷体-GB2312"/>
          <w:b w:val="0"/>
          <w:bCs w:val="0"/>
          <w:sz w:val="16"/>
          <w:szCs w:val="16"/>
        </w:rPr>
      </w:pPr>
      <w:r>
        <w:rPr>
          <w:rFonts w:hint="eastAsia" w:ascii="CESI楷体-GB2312" w:hAnsi="CESI楷体-GB2312" w:eastAsia="CESI楷体-GB2312" w:cs="CESI楷体-GB2312"/>
          <w:b w:val="0"/>
          <w:bCs w:val="0"/>
          <w:sz w:val="32"/>
          <w:szCs w:val="32"/>
        </w:rPr>
        <w:t>（三）202</w:t>
      </w:r>
      <w:r>
        <w:rPr>
          <w:rFonts w:hint="eastAsia" w:ascii="CESI楷体-GB2312" w:hAnsi="CESI楷体-GB2312" w:eastAsia="CESI楷体-GB2312" w:cs="CESI楷体-GB2312"/>
          <w:b w:val="0"/>
          <w:bCs w:val="0"/>
          <w:sz w:val="32"/>
          <w:szCs w:val="32"/>
          <w:lang w:val="en-US" w:eastAsia="zh-CN"/>
        </w:rPr>
        <w:t>4</w:t>
      </w:r>
      <w:r>
        <w:rPr>
          <w:rFonts w:hint="eastAsia" w:ascii="CESI楷体-GB2312" w:hAnsi="CESI楷体-GB2312" w:eastAsia="CESI楷体-GB2312" w:cs="CESI楷体-GB2312"/>
          <w:b w:val="0"/>
          <w:bCs w:val="0"/>
          <w:sz w:val="32"/>
          <w:szCs w:val="32"/>
        </w:rPr>
        <w:t>年行政强制实施情况统计表</w:t>
      </w:r>
      <w:r>
        <w:rPr>
          <w:rStyle w:val="5"/>
          <w:rFonts w:hint="eastAsia" w:ascii="CESI楷体-GB2312" w:hAnsi="CESI楷体-GB2312" w:eastAsia="CESI楷体-GB2312" w:cs="CESI楷体-GB2312"/>
          <w:b w:val="0"/>
          <w:bCs w:val="0"/>
          <w:sz w:val="16"/>
          <w:szCs w:val="16"/>
        </w:rPr>
        <w:t> </w:t>
      </w:r>
    </w:p>
    <w:tbl>
      <w:tblPr>
        <w:tblStyle w:val="3"/>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15" w:type="dxa"/>
          <w:left w:w="15" w:type="dxa"/>
          <w:bottom w:w="15" w:type="dxa"/>
          <w:right w:w="15" w:type="dxa"/>
        </w:tblCellMar>
      </w:tblPr>
      <w:tblGrid>
        <w:gridCol w:w="558"/>
        <w:gridCol w:w="711"/>
        <w:gridCol w:w="656"/>
        <w:gridCol w:w="699"/>
        <w:gridCol w:w="697"/>
        <w:gridCol w:w="589"/>
        <w:gridCol w:w="740"/>
        <w:gridCol w:w="958"/>
        <w:gridCol w:w="753"/>
        <w:gridCol w:w="425"/>
        <w:gridCol w:w="540"/>
        <w:gridCol w:w="534"/>
        <w:gridCol w:w="1212"/>
      </w:tblGrid>
      <w:tr w14:paraId="0E6CC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52" w:hRule="atLeast"/>
          <w:jc w:val="center"/>
        </w:trPr>
        <w:tc>
          <w:tcPr>
            <w:tcW w:w="551" w:type="dxa"/>
            <w:vMerge w:val="restart"/>
            <w:tcBorders>
              <w:top w:val="single" w:color="auto" w:sz="12" w:space="0"/>
            </w:tcBorders>
            <w:noWrap/>
            <w:tcMar>
              <w:top w:w="0" w:type="dxa"/>
              <w:left w:w="84" w:type="dxa"/>
              <w:bottom w:w="0" w:type="dxa"/>
              <w:right w:w="84" w:type="dxa"/>
            </w:tcMar>
            <w:vAlign w:val="center"/>
          </w:tcPr>
          <w:p w14:paraId="60FE52E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单位</w:t>
            </w:r>
            <w:r>
              <w:rPr>
                <w:rStyle w:val="5"/>
                <w:rFonts w:hint="default" w:ascii="CESI黑体-GB2312" w:hAnsi="CESI黑体-GB2312" w:eastAsia="CESI黑体-GB2312" w:cs="CESI黑体-GB2312"/>
                <w:b w:val="0"/>
                <w:bCs/>
                <w:szCs w:val="24"/>
              </w:rPr>
              <w:t>名称</w:t>
            </w:r>
          </w:p>
        </w:tc>
        <w:tc>
          <w:tcPr>
            <w:tcW w:w="2728" w:type="dxa"/>
            <w:gridSpan w:val="4"/>
            <w:tcBorders>
              <w:top w:val="single" w:color="auto" w:sz="12" w:space="0"/>
            </w:tcBorders>
            <w:noWrap/>
            <w:tcMar>
              <w:top w:w="0" w:type="dxa"/>
              <w:left w:w="84" w:type="dxa"/>
              <w:bottom w:w="0" w:type="dxa"/>
              <w:right w:w="84" w:type="dxa"/>
            </w:tcMar>
            <w:vAlign w:val="center"/>
          </w:tcPr>
          <w:p w14:paraId="3212D0C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行政强制措施实施数量（宗）</w:t>
            </w:r>
          </w:p>
        </w:tc>
        <w:tc>
          <w:tcPr>
            <w:tcW w:w="4481" w:type="dxa"/>
            <w:gridSpan w:val="7"/>
            <w:tcBorders>
              <w:top w:val="single" w:color="auto" w:sz="12" w:space="0"/>
            </w:tcBorders>
            <w:noWrap/>
            <w:tcMar>
              <w:top w:w="0" w:type="dxa"/>
              <w:left w:w="84" w:type="dxa"/>
              <w:bottom w:w="0" w:type="dxa"/>
              <w:right w:w="84" w:type="dxa"/>
            </w:tcMar>
            <w:vAlign w:val="center"/>
          </w:tcPr>
          <w:p w14:paraId="09CE7CD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行政强制执行实施数量（宗）</w:t>
            </w:r>
          </w:p>
        </w:tc>
        <w:tc>
          <w:tcPr>
            <w:tcW w:w="1196" w:type="dxa"/>
            <w:vMerge w:val="restart"/>
            <w:tcBorders>
              <w:top w:val="single" w:color="auto" w:sz="12" w:space="0"/>
            </w:tcBorders>
            <w:noWrap/>
            <w:tcMar>
              <w:top w:w="0" w:type="dxa"/>
              <w:left w:w="84" w:type="dxa"/>
              <w:bottom w:w="0" w:type="dxa"/>
              <w:right w:w="84" w:type="dxa"/>
            </w:tcMar>
            <w:vAlign w:val="center"/>
          </w:tcPr>
          <w:p w14:paraId="3EF0CAC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Style w:val="5"/>
                <w:rFonts w:hint="eastAsia" w:ascii="CESI黑体-GB2312" w:hAnsi="CESI黑体-GB2312" w:eastAsia="CESI黑体-GB2312" w:cs="CESI黑体-GB2312"/>
                <w:b w:val="0"/>
                <w:bCs/>
                <w:szCs w:val="24"/>
              </w:rPr>
            </w:pPr>
            <w:r>
              <w:rPr>
                <w:rStyle w:val="5"/>
                <w:rFonts w:hint="eastAsia" w:ascii="CESI黑体-GB2312" w:hAnsi="CESI黑体-GB2312" w:eastAsia="CESI黑体-GB2312" w:cs="CESI黑体-GB2312"/>
                <w:b w:val="0"/>
                <w:bCs/>
                <w:szCs w:val="24"/>
              </w:rPr>
              <w:t>合计</w:t>
            </w:r>
          </w:p>
          <w:p w14:paraId="72E4C01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Style w:val="5"/>
                <w:rFonts w:hint="eastAsia" w:ascii="CESI黑体-GB2312" w:hAnsi="CESI黑体-GB2312" w:eastAsia="CESI黑体-GB2312" w:cs="CESI黑体-GB2312"/>
                <w:b w:val="0"/>
                <w:bCs/>
                <w:szCs w:val="24"/>
              </w:rPr>
            </w:pPr>
            <w:r>
              <w:rPr>
                <w:rStyle w:val="5"/>
                <w:rFonts w:hint="eastAsia" w:ascii="CESI黑体-GB2312" w:hAnsi="CESI黑体-GB2312" w:eastAsia="CESI黑体-GB2312" w:cs="CESI黑体-GB2312"/>
                <w:b w:val="0"/>
                <w:bCs/>
                <w:szCs w:val="24"/>
              </w:rPr>
              <w:t>（宗）</w:t>
            </w:r>
          </w:p>
        </w:tc>
      </w:tr>
      <w:tr w14:paraId="7BF59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21" w:hRule="atLeast"/>
          <w:jc w:val="center"/>
        </w:trPr>
        <w:tc>
          <w:tcPr>
            <w:tcW w:w="551" w:type="dxa"/>
            <w:vMerge w:val="continue"/>
            <w:noWrap/>
            <w:tcMar>
              <w:top w:w="0" w:type="dxa"/>
              <w:left w:w="84" w:type="dxa"/>
              <w:bottom w:w="0" w:type="dxa"/>
              <w:right w:w="84" w:type="dxa"/>
            </w:tcMar>
            <w:vAlign w:val="center"/>
          </w:tcPr>
          <w:p w14:paraId="7EEF6920">
            <w:pPr>
              <w:spacing w:line="380" w:lineRule="exact"/>
              <w:jc w:val="center"/>
              <w:rPr>
                <w:rFonts w:hint="eastAsia" w:ascii="CESI黑体-GB2312" w:hAnsi="CESI黑体-GB2312" w:eastAsia="CESI黑体-GB2312" w:cs="CESI黑体-GB2312"/>
                <w:bCs/>
                <w:sz w:val="24"/>
                <w:szCs w:val="24"/>
              </w:rPr>
            </w:pPr>
          </w:p>
        </w:tc>
        <w:tc>
          <w:tcPr>
            <w:tcW w:w="702" w:type="dxa"/>
            <w:vMerge w:val="restart"/>
            <w:noWrap/>
            <w:tcMar>
              <w:top w:w="0" w:type="dxa"/>
              <w:left w:w="84" w:type="dxa"/>
              <w:bottom w:w="0" w:type="dxa"/>
              <w:right w:w="84" w:type="dxa"/>
            </w:tcMar>
            <w:vAlign w:val="center"/>
          </w:tcPr>
          <w:p w14:paraId="324C053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查封场所、设施或者财物</w:t>
            </w:r>
          </w:p>
          <w:p w14:paraId="577F914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p>
        </w:tc>
        <w:tc>
          <w:tcPr>
            <w:tcW w:w="648" w:type="dxa"/>
            <w:vMerge w:val="restart"/>
            <w:noWrap/>
            <w:tcMar>
              <w:top w:w="0" w:type="dxa"/>
              <w:left w:w="84" w:type="dxa"/>
              <w:bottom w:w="0" w:type="dxa"/>
              <w:right w:w="84" w:type="dxa"/>
            </w:tcMar>
            <w:vAlign w:val="center"/>
          </w:tcPr>
          <w:p w14:paraId="079321CB">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扣押财物</w:t>
            </w:r>
          </w:p>
        </w:tc>
        <w:tc>
          <w:tcPr>
            <w:tcW w:w="690" w:type="dxa"/>
            <w:vMerge w:val="restart"/>
            <w:noWrap/>
            <w:tcMar>
              <w:top w:w="0" w:type="dxa"/>
              <w:left w:w="84" w:type="dxa"/>
              <w:bottom w:w="0" w:type="dxa"/>
              <w:right w:w="84" w:type="dxa"/>
            </w:tcMar>
            <w:vAlign w:val="center"/>
          </w:tcPr>
          <w:p w14:paraId="3DB6201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冻结存款、汇款</w:t>
            </w:r>
          </w:p>
        </w:tc>
        <w:tc>
          <w:tcPr>
            <w:tcW w:w="688" w:type="dxa"/>
            <w:vMerge w:val="restart"/>
            <w:noWrap/>
            <w:tcMar>
              <w:top w:w="0" w:type="dxa"/>
              <w:left w:w="84" w:type="dxa"/>
              <w:bottom w:w="0" w:type="dxa"/>
              <w:right w:w="84" w:type="dxa"/>
            </w:tcMar>
            <w:vAlign w:val="center"/>
          </w:tcPr>
          <w:p w14:paraId="2EDC2AC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其他行政强制措施</w:t>
            </w:r>
          </w:p>
        </w:tc>
        <w:tc>
          <w:tcPr>
            <w:tcW w:w="3954" w:type="dxa"/>
            <w:gridSpan w:val="6"/>
            <w:noWrap/>
            <w:tcMar>
              <w:top w:w="0" w:type="dxa"/>
              <w:left w:w="84" w:type="dxa"/>
              <w:bottom w:w="0" w:type="dxa"/>
              <w:right w:w="84" w:type="dxa"/>
            </w:tcMar>
            <w:vAlign w:val="center"/>
          </w:tcPr>
          <w:p w14:paraId="5B94F2C4">
            <w:pPr>
              <w:pStyle w:val="2"/>
              <w:widowControl/>
              <w:spacing w:before="0" w:beforeAutospacing="0" w:after="0" w:afterAutospacing="0" w:line="380" w:lineRule="exact"/>
              <w:jc w:val="center"/>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行政机关强制执行</w:t>
            </w:r>
          </w:p>
        </w:tc>
        <w:tc>
          <w:tcPr>
            <w:tcW w:w="527" w:type="dxa"/>
            <w:vMerge w:val="restart"/>
            <w:noWrap/>
            <w:tcMar>
              <w:top w:w="0" w:type="dxa"/>
              <w:left w:w="84" w:type="dxa"/>
              <w:bottom w:w="0" w:type="dxa"/>
              <w:right w:w="84" w:type="dxa"/>
            </w:tcMar>
            <w:vAlign w:val="center"/>
          </w:tcPr>
          <w:p w14:paraId="74CEE93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申请法院强制执行</w:t>
            </w:r>
          </w:p>
        </w:tc>
        <w:tc>
          <w:tcPr>
            <w:tcW w:w="1196" w:type="dxa"/>
            <w:vMerge w:val="continue"/>
            <w:noWrap/>
            <w:tcMar>
              <w:top w:w="0" w:type="dxa"/>
              <w:left w:w="84" w:type="dxa"/>
              <w:bottom w:w="0" w:type="dxa"/>
              <w:right w:w="84" w:type="dxa"/>
            </w:tcMar>
            <w:vAlign w:val="center"/>
          </w:tcPr>
          <w:p w14:paraId="2851518A">
            <w:pPr>
              <w:spacing w:line="380" w:lineRule="exact"/>
              <w:jc w:val="center"/>
              <w:rPr>
                <w:rFonts w:hint="eastAsia" w:ascii="CESI黑体-GB2312" w:hAnsi="CESI黑体-GB2312" w:eastAsia="CESI黑体-GB2312" w:cs="CESI黑体-GB2312"/>
                <w:bCs/>
                <w:sz w:val="24"/>
                <w:szCs w:val="24"/>
              </w:rPr>
            </w:pPr>
          </w:p>
        </w:tc>
      </w:tr>
      <w:tr w14:paraId="65FE5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176" w:hRule="atLeast"/>
          <w:jc w:val="center"/>
        </w:trPr>
        <w:tc>
          <w:tcPr>
            <w:tcW w:w="551" w:type="dxa"/>
            <w:vMerge w:val="continue"/>
            <w:noWrap/>
            <w:tcMar>
              <w:top w:w="0" w:type="dxa"/>
              <w:left w:w="84" w:type="dxa"/>
              <w:bottom w:w="0" w:type="dxa"/>
              <w:right w:w="84" w:type="dxa"/>
            </w:tcMar>
            <w:vAlign w:val="center"/>
          </w:tcPr>
          <w:p w14:paraId="091BE067">
            <w:pPr>
              <w:spacing w:line="380" w:lineRule="exact"/>
              <w:jc w:val="center"/>
              <w:rPr>
                <w:rFonts w:hint="eastAsia" w:ascii="CESI黑体-GB2312" w:hAnsi="CESI黑体-GB2312" w:eastAsia="CESI黑体-GB2312" w:cs="CESI黑体-GB2312"/>
                <w:bCs/>
                <w:sz w:val="24"/>
                <w:szCs w:val="24"/>
              </w:rPr>
            </w:pPr>
          </w:p>
        </w:tc>
        <w:tc>
          <w:tcPr>
            <w:tcW w:w="702" w:type="dxa"/>
            <w:vMerge w:val="continue"/>
            <w:noWrap/>
            <w:tcMar>
              <w:top w:w="0" w:type="dxa"/>
              <w:left w:w="84" w:type="dxa"/>
              <w:bottom w:w="0" w:type="dxa"/>
              <w:right w:w="84" w:type="dxa"/>
            </w:tcMar>
            <w:vAlign w:val="center"/>
          </w:tcPr>
          <w:p w14:paraId="379C49EC">
            <w:pPr>
              <w:spacing w:line="380" w:lineRule="exact"/>
              <w:jc w:val="center"/>
              <w:rPr>
                <w:rFonts w:hint="eastAsia" w:ascii="CESI黑体-GB2312" w:hAnsi="CESI黑体-GB2312" w:eastAsia="CESI黑体-GB2312" w:cs="CESI黑体-GB2312"/>
                <w:bCs/>
                <w:sz w:val="24"/>
                <w:szCs w:val="24"/>
              </w:rPr>
            </w:pPr>
          </w:p>
        </w:tc>
        <w:tc>
          <w:tcPr>
            <w:tcW w:w="648" w:type="dxa"/>
            <w:vMerge w:val="continue"/>
            <w:noWrap/>
            <w:tcMar>
              <w:top w:w="0" w:type="dxa"/>
              <w:left w:w="84" w:type="dxa"/>
              <w:bottom w:w="0" w:type="dxa"/>
              <w:right w:w="84" w:type="dxa"/>
            </w:tcMar>
            <w:vAlign w:val="center"/>
          </w:tcPr>
          <w:p w14:paraId="15F5D538">
            <w:pPr>
              <w:spacing w:line="380" w:lineRule="exact"/>
              <w:jc w:val="center"/>
              <w:rPr>
                <w:rFonts w:hint="eastAsia" w:ascii="CESI黑体-GB2312" w:hAnsi="CESI黑体-GB2312" w:eastAsia="CESI黑体-GB2312" w:cs="CESI黑体-GB2312"/>
                <w:bCs/>
                <w:sz w:val="24"/>
                <w:szCs w:val="24"/>
              </w:rPr>
            </w:pPr>
          </w:p>
        </w:tc>
        <w:tc>
          <w:tcPr>
            <w:tcW w:w="690" w:type="dxa"/>
            <w:vMerge w:val="continue"/>
            <w:noWrap/>
            <w:tcMar>
              <w:top w:w="0" w:type="dxa"/>
              <w:left w:w="84" w:type="dxa"/>
              <w:bottom w:w="0" w:type="dxa"/>
              <w:right w:w="84" w:type="dxa"/>
            </w:tcMar>
            <w:vAlign w:val="center"/>
          </w:tcPr>
          <w:p w14:paraId="24C604FF">
            <w:pPr>
              <w:spacing w:line="380" w:lineRule="exact"/>
              <w:jc w:val="center"/>
              <w:rPr>
                <w:rFonts w:hint="eastAsia" w:ascii="CESI黑体-GB2312" w:hAnsi="CESI黑体-GB2312" w:eastAsia="CESI黑体-GB2312" w:cs="CESI黑体-GB2312"/>
                <w:bCs/>
                <w:sz w:val="24"/>
                <w:szCs w:val="24"/>
              </w:rPr>
            </w:pPr>
          </w:p>
        </w:tc>
        <w:tc>
          <w:tcPr>
            <w:tcW w:w="688" w:type="dxa"/>
            <w:vMerge w:val="continue"/>
            <w:noWrap/>
            <w:tcMar>
              <w:top w:w="0" w:type="dxa"/>
              <w:left w:w="84" w:type="dxa"/>
              <w:bottom w:w="0" w:type="dxa"/>
              <w:right w:w="84" w:type="dxa"/>
            </w:tcMar>
            <w:vAlign w:val="center"/>
          </w:tcPr>
          <w:p w14:paraId="23641E6F">
            <w:pPr>
              <w:spacing w:line="380" w:lineRule="exact"/>
              <w:jc w:val="center"/>
              <w:rPr>
                <w:rFonts w:hint="eastAsia" w:ascii="CESI黑体-GB2312" w:hAnsi="CESI黑体-GB2312" w:eastAsia="CESI黑体-GB2312" w:cs="CESI黑体-GB2312"/>
                <w:bCs/>
                <w:sz w:val="24"/>
                <w:szCs w:val="24"/>
              </w:rPr>
            </w:pPr>
          </w:p>
        </w:tc>
        <w:tc>
          <w:tcPr>
            <w:tcW w:w="581" w:type="dxa"/>
            <w:noWrap/>
            <w:tcMar>
              <w:top w:w="0" w:type="dxa"/>
              <w:left w:w="84" w:type="dxa"/>
              <w:bottom w:w="0" w:type="dxa"/>
              <w:right w:w="84" w:type="dxa"/>
            </w:tcMar>
            <w:vAlign w:val="center"/>
          </w:tcPr>
          <w:p w14:paraId="4C99FC8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加处罚款或者滞纳金</w:t>
            </w:r>
          </w:p>
        </w:tc>
        <w:tc>
          <w:tcPr>
            <w:tcW w:w="731" w:type="dxa"/>
            <w:noWrap/>
            <w:tcMar>
              <w:top w:w="0" w:type="dxa"/>
              <w:left w:w="84" w:type="dxa"/>
              <w:bottom w:w="0" w:type="dxa"/>
              <w:right w:w="84" w:type="dxa"/>
            </w:tcMar>
            <w:vAlign w:val="center"/>
          </w:tcPr>
          <w:p w14:paraId="6DD5CAE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划拨存款、汇款</w:t>
            </w:r>
          </w:p>
        </w:tc>
        <w:tc>
          <w:tcPr>
            <w:tcW w:w="946" w:type="dxa"/>
            <w:noWrap/>
            <w:tcMar>
              <w:top w:w="0" w:type="dxa"/>
              <w:left w:w="84" w:type="dxa"/>
              <w:bottom w:w="0" w:type="dxa"/>
              <w:right w:w="84" w:type="dxa"/>
            </w:tcMar>
            <w:vAlign w:val="center"/>
          </w:tcPr>
          <w:p w14:paraId="36D454B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拍卖或者依法处理查封、扣押的场所、设施或者财物</w:t>
            </w:r>
          </w:p>
        </w:tc>
        <w:tc>
          <w:tcPr>
            <w:tcW w:w="743" w:type="dxa"/>
            <w:noWrap/>
            <w:tcMar>
              <w:top w:w="0" w:type="dxa"/>
              <w:left w:w="84" w:type="dxa"/>
              <w:bottom w:w="0" w:type="dxa"/>
              <w:right w:w="84" w:type="dxa"/>
            </w:tcMar>
            <w:vAlign w:val="center"/>
          </w:tcPr>
          <w:p w14:paraId="55BDC4F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排除妨碍、恢复原状</w:t>
            </w:r>
          </w:p>
        </w:tc>
        <w:tc>
          <w:tcPr>
            <w:tcW w:w="420" w:type="dxa"/>
            <w:noWrap/>
            <w:tcMar>
              <w:top w:w="0" w:type="dxa"/>
              <w:left w:w="84" w:type="dxa"/>
              <w:bottom w:w="0" w:type="dxa"/>
              <w:right w:w="84" w:type="dxa"/>
            </w:tcMar>
            <w:vAlign w:val="center"/>
          </w:tcPr>
          <w:p w14:paraId="28D7F54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代履行</w:t>
            </w:r>
          </w:p>
        </w:tc>
        <w:tc>
          <w:tcPr>
            <w:tcW w:w="533" w:type="dxa"/>
            <w:noWrap/>
            <w:tcMar>
              <w:top w:w="0" w:type="dxa"/>
              <w:left w:w="84" w:type="dxa"/>
              <w:bottom w:w="0" w:type="dxa"/>
              <w:right w:w="84" w:type="dxa"/>
            </w:tcMar>
            <w:vAlign w:val="center"/>
          </w:tcPr>
          <w:p w14:paraId="3357A36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其他强制执行</w:t>
            </w:r>
          </w:p>
        </w:tc>
        <w:tc>
          <w:tcPr>
            <w:tcW w:w="527" w:type="dxa"/>
            <w:vMerge w:val="continue"/>
            <w:noWrap/>
            <w:tcMar>
              <w:top w:w="0" w:type="dxa"/>
              <w:left w:w="84" w:type="dxa"/>
              <w:bottom w:w="0" w:type="dxa"/>
              <w:right w:w="84" w:type="dxa"/>
            </w:tcMar>
            <w:vAlign w:val="center"/>
          </w:tcPr>
          <w:p w14:paraId="6F7971D7">
            <w:pPr>
              <w:spacing w:line="380" w:lineRule="exact"/>
              <w:jc w:val="center"/>
              <w:rPr>
                <w:rFonts w:hint="eastAsia" w:ascii="CESI仿宋-GB2312" w:hAnsi="CESI仿宋-GB2312" w:eastAsia="CESI仿宋-GB2312" w:cs="CESI仿宋-GB2312"/>
                <w:bCs/>
                <w:sz w:val="24"/>
                <w:szCs w:val="24"/>
              </w:rPr>
            </w:pPr>
          </w:p>
        </w:tc>
        <w:tc>
          <w:tcPr>
            <w:tcW w:w="1196" w:type="dxa"/>
            <w:vMerge w:val="continue"/>
            <w:noWrap/>
            <w:tcMar>
              <w:top w:w="0" w:type="dxa"/>
              <w:left w:w="84" w:type="dxa"/>
              <w:bottom w:w="0" w:type="dxa"/>
              <w:right w:w="84" w:type="dxa"/>
            </w:tcMar>
            <w:vAlign w:val="center"/>
          </w:tcPr>
          <w:p w14:paraId="67E37267">
            <w:pPr>
              <w:spacing w:line="380" w:lineRule="exact"/>
              <w:jc w:val="center"/>
              <w:rPr>
                <w:rFonts w:hint="eastAsia" w:ascii="CESI仿宋-GB2312" w:hAnsi="CESI仿宋-GB2312" w:eastAsia="CESI仿宋-GB2312" w:cs="CESI仿宋-GB2312"/>
                <w:bCs/>
                <w:sz w:val="24"/>
                <w:szCs w:val="24"/>
              </w:rPr>
            </w:pPr>
          </w:p>
        </w:tc>
      </w:tr>
      <w:tr w14:paraId="1EF6B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51" w:hRule="atLeast"/>
          <w:jc w:val="center"/>
        </w:trPr>
        <w:tc>
          <w:tcPr>
            <w:tcW w:w="551" w:type="dxa"/>
            <w:tcBorders>
              <w:bottom w:val="single" w:color="auto" w:sz="12" w:space="0"/>
            </w:tcBorders>
            <w:noWrap/>
            <w:tcMar>
              <w:top w:w="0" w:type="dxa"/>
              <w:left w:w="84" w:type="dxa"/>
              <w:bottom w:w="0" w:type="dxa"/>
              <w:right w:w="84" w:type="dxa"/>
            </w:tcMar>
            <w:vAlign w:val="center"/>
          </w:tcPr>
          <w:p w14:paraId="72E1F92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仿宋-GB2312" w:hAnsi="CESI仿宋-GB2312" w:eastAsia="CESI仿宋-GB2312" w:cs="CESI仿宋-GB2312"/>
                <w:bCs/>
                <w:szCs w:val="24"/>
                <w:lang w:eastAsia="zh-CN"/>
              </w:rPr>
            </w:pPr>
            <w:r>
              <w:rPr>
                <w:rFonts w:hint="eastAsia" w:ascii="CESI仿宋-GB2312" w:hAnsi="CESI仿宋-GB2312" w:eastAsia="CESI仿宋-GB2312" w:cs="CESI仿宋-GB2312"/>
                <w:bCs/>
                <w:szCs w:val="24"/>
                <w:lang w:eastAsia="zh-CN"/>
              </w:rPr>
              <w:t>广水市住房和城乡建设局</w:t>
            </w:r>
          </w:p>
        </w:tc>
        <w:tc>
          <w:tcPr>
            <w:tcW w:w="702" w:type="dxa"/>
            <w:tcBorders>
              <w:bottom w:val="single" w:color="auto" w:sz="12" w:space="0"/>
            </w:tcBorders>
            <w:noWrap/>
            <w:tcMar>
              <w:top w:w="0" w:type="dxa"/>
              <w:left w:w="84" w:type="dxa"/>
              <w:bottom w:w="0" w:type="dxa"/>
              <w:right w:w="84" w:type="dxa"/>
            </w:tcMar>
            <w:vAlign w:val="center"/>
          </w:tcPr>
          <w:p w14:paraId="2670F47C">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648" w:type="dxa"/>
            <w:tcBorders>
              <w:bottom w:val="single" w:color="auto" w:sz="12" w:space="0"/>
            </w:tcBorders>
            <w:noWrap/>
            <w:tcMar>
              <w:top w:w="0" w:type="dxa"/>
              <w:left w:w="84" w:type="dxa"/>
              <w:bottom w:w="0" w:type="dxa"/>
              <w:right w:w="84" w:type="dxa"/>
            </w:tcMar>
            <w:vAlign w:val="center"/>
          </w:tcPr>
          <w:p w14:paraId="341DD9E1">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690" w:type="dxa"/>
            <w:tcBorders>
              <w:bottom w:val="single" w:color="auto" w:sz="12" w:space="0"/>
            </w:tcBorders>
            <w:noWrap/>
            <w:tcMar>
              <w:top w:w="0" w:type="dxa"/>
              <w:left w:w="84" w:type="dxa"/>
              <w:bottom w:w="0" w:type="dxa"/>
              <w:right w:w="84" w:type="dxa"/>
            </w:tcMar>
            <w:vAlign w:val="center"/>
          </w:tcPr>
          <w:p w14:paraId="185979AC">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688" w:type="dxa"/>
            <w:tcBorders>
              <w:bottom w:val="single" w:color="auto" w:sz="12" w:space="0"/>
            </w:tcBorders>
            <w:noWrap/>
            <w:tcMar>
              <w:top w:w="0" w:type="dxa"/>
              <w:left w:w="84" w:type="dxa"/>
              <w:bottom w:w="0" w:type="dxa"/>
              <w:right w:w="84" w:type="dxa"/>
            </w:tcMar>
            <w:vAlign w:val="center"/>
          </w:tcPr>
          <w:p w14:paraId="6C48BBB3">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581" w:type="dxa"/>
            <w:tcBorders>
              <w:bottom w:val="single" w:color="auto" w:sz="12" w:space="0"/>
            </w:tcBorders>
            <w:noWrap/>
            <w:tcMar>
              <w:top w:w="0" w:type="dxa"/>
              <w:left w:w="84" w:type="dxa"/>
              <w:bottom w:w="0" w:type="dxa"/>
              <w:right w:w="84" w:type="dxa"/>
            </w:tcMar>
            <w:vAlign w:val="center"/>
          </w:tcPr>
          <w:p w14:paraId="394A9022">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731" w:type="dxa"/>
            <w:tcBorders>
              <w:bottom w:val="single" w:color="auto" w:sz="12" w:space="0"/>
            </w:tcBorders>
            <w:noWrap/>
            <w:tcMar>
              <w:top w:w="0" w:type="dxa"/>
              <w:left w:w="84" w:type="dxa"/>
              <w:bottom w:w="0" w:type="dxa"/>
              <w:right w:w="84" w:type="dxa"/>
            </w:tcMar>
            <w:vAlign w:val="center"/>
          </w:tcPr>
          <w:p w14:paraId="49E975BD">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946" w:type="dxa"/>
            <w:tcBorders>
              <w:bottom w:val="single" w:color="auto" w:sz="12" w:space="0"/>
            </w:tcBorders>
            <w:noWrap/>
            <w:tcMar>
              <w:top w:w="0" w:type="dxa"/>
              <w:left w:w="84" w:type="dxa"/>
              <w:bottom w:w="0" w:type="dxa"/>
              <w:right w:w="84" w:type="dxa"/>
            </w:tcMar>
            <w:vAlign w:val="center"/>
          </w:tcPr>
          <w:p w14:paraId="7DFAEA5F">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743" w:type="dxa"/>
            <w:tcBorders>
              <w:bottom w:val="single" w:color="auto" w:sz="12" w:space="0"/>
            </w:tcBorders>
            <w:noWrap/>
            <w:tcMar>
              <w:top w:w="0" w:type="dxa"/>
              <w:left w:w="84" w:type="dxa"/>
              <w:bottom w:w="0" w:type="dxa"/>
              <w:right w:w="84" w:type="dxa"/>
            </w:tcMar>
            <w:vAlign w:val="center"/>
          </w:tcPr>
          <w:p w14:paraId="52647070">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420" w:type="dxa"/>
            <w:tcBorders>
              <w:bottom w:val="single" w:color="auto" w:sz="12" w:space="0"/>
            </w:tcBorders>
            <w:noWrap/>
            <w:tcMar>
              <w:top w:w="0" w:type="dxa"/>
              <w:left w:w="84" w:type="dxa"/>
              <w:bottom w:w="0" w:type="dxa"/>
              <w:right w:w="84" w:type="dxa"/>
            </w:tcMar>
            <w:vAlign w:val="center"/>
          </w:tcPr>
          <w:p w14:paraId="4B51AEEC">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533" w:type="dxa"/>
            <w:tcBorders>
              <w:bottom w:val="single" w:color="auto" w:sz="12" w:space="0"/>
            </w:tcBorders>
            <w:noWrap/>
            <w:tcMar>
              <w:top w:w="0" w:type="dxa"/>
              <w:left w:w="84" w:type="dxa"/>
              <w:bottom w:w="0" w:type="dxa"/>
              <w:right w:w="84" w:type="dxa"/>
            </w:tcMar>
            <w:vAlign w:val="center"/>
          </w:tcPr>
          <w:p w14:paraId="3524F5A8">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527" w:type="dxa"/>
            <w:tcBorders>
              <w:bottom w:val="single" w:color="auto" w:sz="12" w:space="0"/>
            </w:tcBorders>
            <w:noWrap/>
            <w:tcMar>
              <w:top w:w="0" w:type="dxa"/>
              <w:left w:w="84" w:type="dxa"/>
              <w:bottom w:w="0" w:type="dxa"/>
              <w:right w:w="84" w:type="dxa"/>
            </w:tcMar>
            <w:vAlign w:val="center"/>
          </w:tcPr>
          <w:p w14:paraId="778FE3E2">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bookmarkStart w:id="0" w:name="_GoBack"/>
            <w:bookmarkEnd w:id="0"/>
          </w:p>
        </w:tc>
        <w:tc>
          <w:tcPr>
            <w:tcW w:w="1196" w:type="dxa"/>
            <w:tcBorders>
              <w:bottom w:val="single" w:color="auto" w:sz="12" w:space="0"/>
            </w:tcBorders>
            <w:noWrap/>
            <w:tcMar>
              <w:top w:w="0" w:type="dxa"/>
              <w:left w:w="84" w:type="dxa"/>
              <w:bottom w:w="0" w:type="dxa"/>
              <w:right w:w="84" w:type="dxa"/>
            </w:tcMar>
            <w:vAlign w:val="center"/>
          </w:tcPr>
          <w:p w14:paraId="255CD99E">
            <w:pPr>
              <w:pStyle w:val="2"/>
              <w:widowControl/>
              <w:spacing w:before="0" w:beforeAutospacing="0" w:after="0" w:afterAutospacing="0" w:line="38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r>
    </w:tbl>
    <w:p w14:paraId="194BC6E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62" w:firstLineChars="200"/>
        <w:jc w:val="both"/>
        <w:textAlignment w:val="auto"/>
        <w:rPr>
          <w:rFonts w:hint="eastAsia" w:ascii="CESI楷体-GB2312" w:hAnsi="CESI楷体-GB2312" w:eastAsia="CESI楷体-GB2312" w:cs="CESI楷体-GB2312"/>
          <w:b w:val="0"/>
          <w:bCs w:val="0"/>
          <w:sz w:val="32"/>
          <w:szCs w:val="32"/>
        </w:rPr>
      </w:pPr>
      <w:r>
        <w:rPr>
          <w:rFonts w:hint="eastAsia" w:ascii="仿宋_GB2312" w:hAnsi="仿宋_GB2312" w:eastAsia="仿宋_GB2312" w:cs="仿宋_GB2312"/>
          <w:b/>
          <w:bCs/>
          <w:sz w:val="23"/>
          <w:szCs w:val="23"/>
        </w:rPr>
        <w:t>说明：</w:t>
      </w:r>
      <w:r>
        <w:rPr>
          <w:rFonts w:hint="eastAsia" w:ascii="仿宋_GB2312" w:hAnsi="仿宋_GB2312" w:eastAsia="仿宋_GB2312" w:cs="仿宋_GB2312"/>
          <w:sz w:val="23"/>
          <w:szCs w:val="23"/>
        </w:rPr>
        <w:t>1.“行政强制措施实施数量”的统计范围为统计年度1月1日至12月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期间作出的表格所列各类行政强制措施决定的数量。2.“行政强制执行实施数量” 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期间表格所列各类行政强制执行行为执行完毕或者终结执行的数量。3.“申请法院强制执行”数量的统计范围为统计年度1月1日至12月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期间向法院申请强制执行的数量，时间以申请日期为准。</w:t>
      </w:r>
    </w:p>
    <w:p w14:paraId="573D1277">
      <w:pPr>
        <w:pStyle w:val="2"/>
        <w:widowControl/>
        <w:spacing w:before="180" w:beforeAutospacing="0" w:after="0" w:afterAutospacing="0" w:line="368" w:lineRule="atLeast"/>
        <w:jc w:val="both"/>
        <w:rPr>
          <w:rFonts w:hint="eastAsia" w:ascii="CESI楷体-GB2312" w:hAnsi="CESI楷体-GB2312" w:eastAsia="CESI楷体-GB2312" w:cs="CESI楷体-GB2312"/>
          <w:b w:val="0"/>
          <w:bCs w:val="0"/>
          <w:sz w:val="32"/>
          <w:szCs w:val="32"/>
        </w:rPr>
      </w:pPr>
    </w:p>
    <w:p w14:paraId="225FBE07">
      <w:pPr>
        <w:pStyle w:val="2"/>
        <w:widowControl/>
        <w:spacing w:before="180" w:beforeAutospacing="0" w:after="0" w:afterAutospacing="0" w:line="368" w:lineRule="atLeast"/>
        <w:jc w:val="both"/>
        <w:rPr>
          <w:rFonts w:hint="eastAsia" w:ascii="CESI楷体-GB2312" w:hAnsi="CESI楷体-GB2312" w:eastAsia="CESI楷体-GB2312" w:cs="CESI楷体-GB2312"/>
          <w:b w:val="0"/>
          <w:bCs w:val="0"/>
          <w:sz w:val="16"/>
          <w:szCs w:val="16"/>
        </w:rPr>
      </w:pPr>
      <w:r>
        <w:rPr>
          <w:rFonts w:hint="eastAsia" w:ascii="CESI楷体-GB2312" w:hAnsi="CESI楷体-GB2312" w:eastAsia="CESI楷体-GB2312" w:cs="CESI楷体-GB2312"/>
          <w:b w:val="0"/>
          <w:bCs w:val="0"/>
          <w:sz w:val="32"/>
          <w:szCs w:val="32"/>
        </w:rPr>
        <w:t>（四）202</w:t>
      </w:r>
      <w:r>
        <w:rPr>
          <w:rFonts w:hint="eastAsia" w:ascii="CESI楷体-GB2312" w:hAnsi="CESI楷体-GB2312" w:eastAsia="CESI楷体-GB2312" w:cs="CESI楷体-GB2312"/>
          <w:b w:val="0"/>
          <w:bCs w:val="0"/>
          <w:sz w:val="32"/>
          <w:szCs w:val="32"/>
          <w:lang w:val="en-US" w:eastAsia="zh-CN"/>
        </w:rPr>
        <w:t>4</w:t>
      </w:r>
      <w:r>
        <w:rPr>
          <w:rFonts w:hint="eastAsia" w:ascii="CESI楷体-GB2312" w:hAnsi="CESI楷体-GB2312" w:eastAsia="CESI楷体-GB2312" w:cs="CESI楷体-GB2312"/>
          <w:b w:val="0"/>
          <w:bCs w:val="0"/>
          <w:sz w:val="32"/>
          <w:szCs w:val="32"/>
        </w:rPr>
        <w:t>年其他行政执法行为实施情况统计表</w:t>
      </w:r>
    </w:p>
    <w:tbl>
      <w:tblPr>
        <w:tblStyle w:val="3"/>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534"/>
        <w:gridCol w:w="523"/>
        <w:gridCol w:w="713"/>
        <w:gridCol w:w="720"/>
        <w:gridCol w:w="656"/>
        <w:gridCol w:w="842"/>
        <w:gridCol w:w="666"/>
        <w:gridCol w:w="766"/>
        <w:gridCol w:w="693"/>
        <w:gridCol w:w="583"/>
        <w:gridCol w:w="754"/>
        <w:gridCol w:w="959"/>
        <w:gridCol w:w="663"/>
      </w:tblGrid>
      <w:tr w14:paraId="3C541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jc w:val="center"/>
        </w:trPr>
        <w:tc>
          <w:tcPr>
            <w:tcW w:w="534" w:type="dxa"/>
            <w:vMerge w:val="restart"/>
            <w:tcBorders>
              <w:top w:val="single" w:color="auto" w:sz="12" w:space="0"/>
            </w:tcBorders>
            <w:noWrap/>
            <w:tcMar>
              <w:top w:w="0" w:type="dxa"/>
              <w:left w:w="84" w:type="dxa"/>
              <w:bottom w:w="0" w:type="dxa"/>
              <w:right w:w="84" w:type="dxa"/>
            </w:tcMar>
            <w:vAlign w:val="center"/>
          </w:tcPr>
          <w:p w14:paraId="1ADB766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default"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单位</w:t>
            </w:r>
            <w:r>
              <w:rPr>
                <w:rStyle w:val="5"/>
                <w:rFonts w:hint="default" w:ascii="CESI黑体-GB2312" w:hAnsi="CESI黑体-GB2312" w:eastAsia="CESI黑体-GB2312" w:cs="CESI黑体-GB2312"/>
                <w:b w:val="0"/>
                <w:bCs/>
                <w:szCs w:val="24"/>
              </w:rPr>
              <w:t>名称</w:t>
            </w:r>
          </w:p>
        </w:tc>
        <w:tc>
          <w:tcPr>
            <w:tcW w:w="1236" w:type="dxa"/>
            <w:gridSpan w:val="2"/>
            <w:tcBorders>
              <w:top w:val="single" w:color="auto" w:sz="12" w:space="0"/>
            </w:tcBorders>
            <w:noWrap/>
            <w:tcMar>
              <w:top w:w="0" w:type="dxa"/>
              <w:left w:w="84" w:type="dxa"/>
              <w:bottom w:w="0" w:type="dxa"/>
              <w:right w:w="84" w:type="dxa"/>
            </w:tcMar>
            <w:vAlign w:val="center"/>
          </w:tcPr>
          <w:p w14:paraId="1C1E66A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行政征收</w:t>
            </w:r>
          </w:p>
        </w:tc>
        <w:tc>
          <w:tcPr>
            <w:tcW w:w="720" w:type="dxa"/>
            <w:tcBorders>
              <w:top w:val="single" w:color="auto" w:sz="12" w:space="0"/>
            </w:tcBorders>
            <w:noWrap/>
            <w:tcMar>
              <w:top w:w="0" w:type="dxa"/>
              <w:left w:w="84" w:type="dxa"/>
              <w:bottom w:w="0" w:type="dxa"/>
              <w:right w:w="84" w:type="dxa"/>
            </w:tcMar>
            <w:vAlign w:val="center"/>
          </w:tcPr>
          <w:p w14:paraId="5BC52DF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行政检查</w:t>
            </w:r>
          </w:p>
        </w:tc>
        <w:tc>
          <w:tcPr>
            <w:tcW w:w="1498" w:type="dxa"/>
            <w:gridSpan w:val="2"/>
            <w:tcBorders>
              <w:top w:val="single" w:color="auto" w:sz="12" w:space="0"/>
            </w:tcBorders>
            <w:noWrap/>
            <w:tcMar>
              <w:top w:w="0" w:type="dxa"/>
              <w:left w:w="84" w:type="dxa"/>
              <w:bottom w:w="0" w:type="dxa"/>
              <w:right w:w="84" w:type="dxa"/>
            </w:tcMar>
            <w:vAlign w:val="center"/>
          </w:tcPr>
          <w:p w14:paraId="19588CEB">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行政裁决</w:t>
            </w:r>
          </w:p>
        </w:tc>
        <w:tc>
          <w:tcPr>
            <w:tcW w:w="1432" w:type="dxa"/>
            <w:gridSpan w:val="2"/>
            <w:tcBorders>
              <w:top w:val="single" w:color="auto" w:sz="12" w:space="0"/>
            </w:tcBorders>
            <w:noWrap/>
            <w:tcMar>
              <w:top w:w="0" w:type="dxa"/>
              <w:left w:w="84" w:type="dxa"/>
              <w:bottom w:w="0" w:type="dxa"/>
              <w:right w:w="84" w:type="dxa"/>
            </w:tcMar>
            <w:vAlign w:val="center"/>
          </w:tcPr>
          <w:p w14:paraId="3ECC6D8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行政给付</w:t>
            </w:r>
          </w:p>
        </w:tc>
        <w:tc>
          <w:tcPr>
            <w:tcW w:w="693" w:type="dxa"/>
            <w:tcBorders>
              <w:top w:val="single" w:color="auto" w:sz="12" w:space="0"/>
            </w:tcBorders>
            <w:noWrap/>
            <w:tcMar>
              <w:top w:w="0" w:type="dxa"/>
              <w:left w:w="84" w:type="dxa"/>
              <w:bottom w:w="0" w:type="dxa"/>
              <w:right w:w="84" w:type="dxa"/>
            </w:tcMar>
            <w:vAlign w:val="center"/>
          </w:tcPr>
          <w:p w14:paraId="1AF6D7B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行政确认</w:t>
            </w:r>
          </w:p>
        </w:tc>
        <w:tc>
          <w:tcPr>
            <w:tcW w:w="1337" w:type="dxa"/>
            <w:gridSpan w:val="2"/>
            <w:tcBorders>
              <w:top w:val="single" w:color="auto" w:sz="12" w:space="0"/>
            </w:tcBorders>
            <w:noWrap/>
            <w:tcMar>
              <w:top w:w="0" w:type="dxa"/>
              <w:left w:w="84" w:type="dxa"/>
              <w:bottom w:w="0" w:type="dxa"/>
              <w:right w:w="84" w:type="dxa"/>
            </w:tcMar>
            <w:vAlign w:val="center"/>
          </w:tcPr>
          <w:p w14:paraId="746039C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行政奖励</w:t>
            </w:r>
          </w:p>
        </w:tc>
        <w:tc>
          <w:tcPr>
            <w:tcW w:w="959" w:type="dxa"/>
            <w:tcBorders>
              <w:top w:val="single" w:color="auto" w:sz="12" w:space="0"/>
            </w:tcBorders>
            <w:noWrap/>
            <w:tcMar>
              <w:top w:w="0" w:type="dxa"/>
              <w:left w:w="84" w:type="dxa"/>
              <w:bottom w:w="0" w:type="dxa"/>
              <w:right w:w="84" w:type="dxa"/>
            </w:tcMar>
            <w:vAlign w:val="center"/>
          </w:tcPr>
          <w:p w14:paraId="233A8C6B">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其他行政执法行为</w:t>
            </w:r>
          </w:p>
        </w:tc>
        <w:tc>
          <w:tcPr>
            <w:tcW w:w="663" w:type="dxa"/>
            <w:vMerge w:val="restart"/>
            <w:tcBorders>
              <w:top w:val="single" w:color="auto" w:sz="12" w:space="0"/>
            </w:tcBorders>
            <w:noWrap/>
            <w:tcMar>
              <w:top w:w="0" w:type="dxa"/>
              <w:left w:w="84" w:type="dxa"/>
              <w:bottom w:w="0" w:type="dxa"/>
              <w:right w:w="84" w:type="dxa"/>
            </w:tcMar>
            <w:vAlign w:val="center"/>
          </w:tcPr>
          <w:p w14:paraId="4CCD755F">
            <w:pPr>
              <w:pStyle w:val="2"/>
              <w:widowControl/>
              <w:spacing w:before="0" w:beforeAutospacing="0" w:after="0" w:afterAutospacing="0" w:line="440" w:lineRule="exact"/>
              <w:jc w:val="center"/>
              <w:rPr>
                <w:rFonts w:hint="eastAsia" w:ascii="CESI仿宋-GB2312" w:hAnsi="CESI仿宋-GB2312" w:eastAsia="CESI仿宋-GB2312" w:cs="CESI仿宋-GB2312"/>
                <w:bCs/>
                <w:szCs w:val="24"/>
              </w:rPr>
            </w:pPr>
            <w:r>
              <w:rPr>
                <w:rStyle w:val="5"/>
                <w:rFonts w:hint="eastAsia" w:ascii="CESI黑体-GB2312" w:hAnsi="CESI黑体-GB2312" w:eastAsia="CESI黑体-GB2312" w:cs="CESI黑体-GB2312"/>
                <w:b w:val="0"/>
                <w:bCs/>
                <w:szCs w:val="24"/>
              </w:rPr>
              <w:t>合计</w:t>
            </w:r>
            <w:r>
              <w:rPr>
                <w:rStyle w:val="5"/>
                <w:rFonts w:hint="eastAsia" w:ascii="CESI黑体-GB2312" w:hAnsi="CESI黑体-GB2312" w:eastAsia="CESI黑体-GB2312" w:cs="CESI黑体-GB2312"/>
                <w:b w:val="0"/>
                <w:bCs/>
                <w:spacing w:val="-16"/>
                <w:w w:val="96"/>
                <w:szCs w:val="24"/>
              </w:rPr>
              <w:t>（宗）</w:t>
            </w:r>
          </w:p>
        </w:tc>
      </w:tr>
      <w:tr w14:paraId="452946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jc w:val="center"/>
        </w:trPr>
        <w:tc>
          <w:tcPr>
            <w:tcW w:w="534" w:type="dxa"/>
            <w:vMerge w:val="continue"/>
            <w:noWrap/>
            <w:tcMar>
              <w:top w:w="0" w:type="dxa"/>
              <w:left w:w="84" w:type="dxa"/>
              <w:bottom w:w="0" w:type="dxa"/>
              <w:right w:w="84" w:type="dxa"/>
            </w:tcMar>
            <w:vAlign w:val="center"/>
          </w:tcPr>
          <w:p w14:paraId="7F9E31F9">
            <w:pPr>
              <w:spacing w:line="440" w:lineRule="exact"/>
              <w:rPr>
                <w:rFonts w:hint="eastAsia" w:ascii="CESI黑体-GB2312" w:hAnsi="CESI黑体-GB2312" w:eastAsia="CESI黑体-GB2312" w:cs="CESI黑体-GB2312"/>
                <w:bCs/>
                <w:sz w:val="24"/>
                <w:szCs w:val="24"/>
              </w:rPr>
            </w:pPr>
          </w:p>
        </w:tc>
        <w:tc>
          <w:tcPr>
            <w:tcW w:w="523" w:type="dxa"/>
            <w:noWrap/>
            <w:tcMar>
              <w:top w:w="0" w:type="dxa"/>
              <w:left w:w="84" w:type="dxa"/>
              <w:bottom w:w="0" w:type="dxa"/>
              <w:right w:w="84" w:type="dxa"/>
            </w:tcMar>
            <w:vAlign w:val="center"/>
          </w:tcPr>
          <w:p w14:paraId="766DE12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宗数</w:t>
            </w:r>
          </w:p>
        </w:tc>
        <w:tc>
          <w:tcPr>
            <w:tcW w:w="713" w:type="dxa"/>
            <w:noWrap/>
            <w:tcMar>
              <w:top w:w="0" w:type="dxa"/>
              <w:left w:w="84" w:type="dxa"/>
              <w:bottom w:w="0" w:type="dxa"/>
              <w:right w:w="84" w:type="dxa"/>
            </w:tcMar>
            <w:vAlign w:val="center"/>
          </w:tcPr>
          <w:p w14:paraId="09211E8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征收总金额（万元）</w:t>
            </w:r>
          </w:p>
        </w:tc>
        <w:tc>
          <w:tcPr>
            <w:tcW w:w="720" w:type="dxa"/>
            <w:noWrap/>
            <w:tcMar>
              <w:top w:w="0" w:type="dxa"/>
              <w:left w:w="84" w:type="dxa"/>
              <w:bottom w:w="0" w:type="dxa"/>
              <w:right w:w="84" w:type="dxa"/>
            </w:tcMar>
            <w:vAlign w:val="center"/>
          </w:tcPr>
          <w:p w14:paraId="0C139CF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Style w:val="5"/>
                <w:rFonts w:hint="eastAsia" w:ascii="CESI黑体-GB2312" w:hAnsi="CESI黑体-GB2312" w:eastAsia="CESI黑体-GB2312" w:cs="CESI黑体-GB2312"/>
                <w:b w:val="0"/>
                <w:bCs/>
                <w:szCs w:val="24"/>
              </w:rPr>
            </w:pPr>
            <w:r>
              <w:rPr>
                <w:rStyle w:val="5"/>
                <w:rFonts w:hint="eastAsia" w:ascii="CESI黑体-GB2312" w:hAnsi="CESI黑体-GB2312" w:eastAsia="CESI黑体-GB2312" w:cs="CESI黑体-GB2312"/>
                <w:b w:val="0"/>
                <w:bCs/>
                <w:szCs w:val="24"/>
              </w:rPr>
              <w:t>宗</w:t>
            </w:r>
          </w:p>
          <w:p w14:paraId="4A885E2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数</w:t>
            </w:r>
          </w:p>
        </w:tc>
        <w:tc>
          <w:tcPr>
            <w:tcW w:w="656" w:type="dxa"/>
            <w:noWrap/>
            <w:tcMar>
              <w:top w:w="0" w:type="dxa"/>
              <w:left w:w="84" w:type="dxa"/>
              <w:bottom w:w="0" w:type="dxa"/>
              <w:right w:w="84" w:type="dxa"/>
            </w:tcMar>
            <w:vAlign w:val="center"/>
          </w:tcPr>
          <w:p w14:paraId="5F86E34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Style w:val="5"/>
                <w:rFonts w:hint="eastAsia" w:ascii="CESI黑体-GB2312" w:hAnsi="CESI黑体-GB2312" w:eastAsia="CESI黑体-GB2312" w:cs="CESI黑体-GB2312"/>
                <w:b w:val="0"/>
                <w:bCs/>
                <w:szCs w:val="24"/>
              </w:rPr>
            </w:pPr>
            <w:r>
              <w:rPr>
                <w:rStyle w:val="5"/>
                <w:rFonts w:hint="eastAsia" w:ascii="CESI黑体-GB2312" w:hAnsi="CESI黑体-GB2312" w:eastAsia="CESI黑体-GB2312" w:cs="CESI黑体-GB2312"/>
                <w:b w:val="0"/>
                <w:bCs/>
                <w:szCs w:val="24"/>
              </w:rPr>
              <w:t>宗</w:t>
            </w:r>
          </w:p>
          <w:p w14:paraId="5A8772F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数</w:t>
            </w:r>
          </w:p>
        </w:tc>
        <w:tc>
          <w:tcPr>
            <w:tcW w:w="842" w:type="dxa"/>
            <w:noWrap/>
            <w:tcMar>
              <w:top w:w="0" w:type="dxa"/>
              <w:left w:w="84" w:type="dxa"/>
              <w:bottom w:w="0" w:type="dxa"/>
              <w:right w:w="84" w:type="dxa"/>
            </w:tcMar>
            <w:vAlign w:val="center"/>
          </w:tcPr>
          <w:p w14:paraId="60376FDE">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涉及金额</w:t>
            </w:r>
          </w:p>
          <w:p w14:paraId="7204A06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（万元）</w:t>
            </w:r>
          </w:p>
        </w:tc>
        <w:tc>
          <w:tcPr>
            <w:tcW w:w="666" w:type="dxa"/>
            <w:noWrap/>
            <w:tcMar>
              <w:top w:w="0" w:type="dxa"/>
              <w:left w:w="84" w:type="dxa"/>
              <w:bottom w:w="0" w:type="dxa"/>
              <w:right w:w="84" w:type="dxa"/>
            </w:tcMar>
            <w:vAlign w:val="center"/>
          </w:tcPr>
          <w:p w14:paraId="79E9BCBF">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Style w:val="5"/>
                <w:rFonts w:hint="eastAsia" w:ascii="CESI黑体-GB2312" w:hAnsi="CESI黑体-GB2312" w:eastAsia="CESI黑体-GB2312" w:cs="CESI黑体-GB2312"/>
                <w:b w:val="0"/>
                <w:bCs/>
                <w:szCs w:val="24"/>
              </w:rPr>
            </w:pPr>
            <w:r>
              <w:rPr>
                <w:rStyle w:val="5"/>
                <w:rFonts w:hint="eastAsia" w:ascii="CESI黑体-GB2312" w:hAnsi="CESI黑体-GB2312" w:eastAsia="CESI黑体-GB2312" w:cs="CESI黑体-GB2312"/>
                <w:b w:val="0"/>
                <w:bCs/>
                <w:szCs w:val="24"/>
              </w:rPr>
              <w:t>宗</w:t>
            </w:r>
          </w:p>
          <w:p w14:paraId="155C63A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数</w:t>
            </w:r>
          </w:p>
        </w:tc>
        <w:tc>
          <w:tcPr>
            <w:tcW w:w="766" w:type="dxa"/>
            <w:noWrap/>
            <w:tcMar>
              <w:top w:w="0" w:type="dxa"/>
              <w:left w:w="84" w:type="dxa"/>
              <w:bottom w:w="0" w:type="dxa"/>
              <w:right w:w="84" w:type="dxa"/>
            </w:tcMar>
            <w:vAlign w:val="center"/>
          </w:tcPr>
          <w:p w14:paraId="0157BDF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给付总金额（万元）</w:t>
            </w:r>
          </w:p>
        </w:tc>
        <w:tc>
          <w:tcPr>
            <w:tcW w:w="693" w:type="dxa"/>
            <w:noWrap/>
            <w:tcMar>
              <w:top w:w="0" w:type="dxa"/>
              <w:left w:w="84" w:type="dxa"/>
              <w:bottom w:w="0" w:type="dxa"/>
              <w:right w:w="84" w:type="dxa"/>
            </w:tcMar>
            <w:vAlign w:val="center"/>
          </w:tcPr>
          <w:p w14:paraId="53BFF3E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Style w:val="5"/>
                <w:rFonts w:hint="eastAsia" w:ascii="CESI黑体-GB2312" w:hAnsi="CESI黑体-GB2312" w:eastAsia="CESI黑体-GB2312" w:cs="CESI黑体-GB2312"/>
                <w:b w:val="0"/>
                <w:bCs/>
                <w:szCs w:val="24"/>
              </w:rPr>
            </w:pPr>
            <w:r>
              <w:rPr>
                <w:rStyle w:val="5"/>
                <w:rFonts w:hint="eastAsia" w:ascii="CESI黑体-GB2312" w:hAnsi="CESI黑体-GB2312" w:eastAsia="CESI黑体-GB2312" w:cs="CESI黑体-GB2312"/>
                <w:b w:val="0"/>
                <w:bCs/>
                <w:szCs w:val="24"/>
              </w:rPr>
              <w:t>宗</w:t>
            </w:r>
          </w:p>
          <w:p w14:paraId="4510FFB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数</w:t>
            </w:r>
          </w:p>
        </w:tc>
        <w:tc>
          <w:tcPr>
            <w:tcW w:w="583" w:type="dxa"/>
            <w:noWrap/>
            <w:tcMar>
              <w:top w:w="0" w:type="dxa"/>
              <w:left w:w="84" w:type="dxa"/>
              <w:bottom w:w="0" w:type="dxa"/>
              <w:right w:w="84" w:type="dxa"/>
            </w:tcMar>
            <w:vAlign w:val="center"/>
          </w:tcPr>
          <w:p w14:paraId="6CA95FC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宗数</w:t>
            </w:r>
          </w:p>
        </w:tc>
        <w:tc>
          <w:tcPr>
            <w:tcW w:w="754" w:type="dxa"/>
            <w:noWrap/>
            <w:tcMar>
              <w:top w:w="0" w:type="dxa"/>
              <w:left w:w="84" w:type="dxa"/>
              <w:bottom w:w="0" w:type="dxa"/>
              <w:right w:w="84" w:type="dxa"/>
            </w:tcMar>
            <w:vAlign w:val="center"/>
          </w:tcPr>
          <w:p w14:paraId="77D8800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奖励总金额（万元）</w:t>
            </w:r>
          </w:p>
        </w:tc>
        <w:tc>
          <w:tcPr>
            <w:tcW w:w="959" w:type="dxa"/>
            <w:noWrap/>
            <w:tcMar>
              <w:top w:w="0" w:type="dxa"/>
              <w:left w:w="84" w:type="dxa"/>
              <w:bottom w:w="0" w:type="dxa"/>
              <w:right w:w="84" w:type="dxa"/>
            </w:tcMar>
            <w:vAlign w:val="center"/>
          </w:tcPr>
          <w:p w14:paraId="19184EB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Style w:val="5"/>
                <w:rFonts w:hint="eastAsia" w:ascii="CESI黑体-GB2312" w:hAnsi="CESI黑体-GB2312" w:eastAsia="CESI黑体-GB2312" w:cs="CESI黑体-GB2312"/>
                <w:b w:val="0"/>
                <w:bCs/>
                <w:szCs w:val="24"/>
              </w:rPr>
            </w:pPr>
            <w:r>
              <w:rPr>
                <w:rStyle w:val="5"/>
                <w:rFonts w:hint="eastAsia" w:ascii="CESI黑体-GB2312" w:hAnsi="CESI黑体-GB2312" w:eastAsia="CESI黑体-GB2312" w:cs="CESI黑体-GB2312"/>
                <w:b w:val="0"/>
                <w:bCs/>
                <w:szCs w:val="24"/>
              </w:rPr>
              <w:t>宗</w:t>
            </w:r>
          </w:p>
          <w:p w14:paraId="380C604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黑体-GB2312" w:hAnsi="CESI黑体-GB2312" w:eastAsia="CESI黑体-GB2312" w:cs="CESI黑体-GB2312"/>
                <w:bCs/>
                <w:szCs w:val="24"/>
              </w:rPr>
            </w:pPr>
            <w:r>
              <w:rPr>
                <w:rStyle w:val="5"/>
                <w:rFonts w:hint="eastAsia" w:ascii="CESI黑体-GB2312" w:hAnsi="CESI黑体-GB2312" w:eastAsia="CESI黑体-GB2312" w:cs="CESI黑体-GB2312"/>
                <w:b w:val="0"/>
                <w:bCs/>
                <w:szCs w:val="24"/>
              </w:rPr>
              <w:t>数</w:t>
            </w:r>
          </w:p>
        </w:tc>
        <w:tc>
          <w:tcPr>
            <w:tcW w:w="663" w:type="dxa"/>
            <w:vMerge w:val="continue"/>
            <w:noWrap/>
            <w:tcMar>
              <w:top w:w="0" w:type="dxa"/>
              <w:left w:w="84" w:type="dxa"/>
              <w:bottom w:w="0" w:type="dxa"/>
              <w:right w:w="84" w:type="dxa"/>
            </w:tcMar>
            <w:vAlign w:val="top"/>
          </w:tcPr>
          <w:p w14:paraId="7AA3263C">
            <w:pPr>
              <w:spacing w:line="440" w:lineRule="exact"/>
              <w:jc w:val="center"/>
              <w:rPr>
                <w:rFonts w:hint="eastAsia" w:ascii="CESI仿宋-GB2312" w:hAnsi="CESI仿宋-GB2312" w:eastAsia="CESI仿宋-GB2312" w:cs="CESI仿宋-GB2312"/>
                <w:bCs/>
                <w:sz w:val="24"/>
                <w:szCs w:val="24"/>
              </w:rPr>
            </w:pPr>
          </w:p>
        </w:tc>
      </w:tr>
      <w:tr w14:paraId="0517A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42" w:hRule="atLeast"/>
          <w:jc w:val="center"/>
        </w:trPr>
        <w:tc>
          <w:tcPr>
            <w:tcW w:w="534" w:type="dxa"/>
            <w:tcBorders>
              <w:bottom w:val="single" w:color="auto" w:sz="12" w:space="0"/>
            </w:tcBorders>
            <w:noWrap/>
            <w:tcMar>
              <w:top w:w="0" w:type="dxa"/>
              <w:left w:w="84" w:type="dxa"/>
              <w:bottom w:w="0" w:type="dxa"/>
              <w:right w:w="84" w:type="dxa"/>
            </w:tcMar>
            <w:vAlign w:val="top"/>
          </w:tcPr>
          <w:p w14:paraId="32C9E16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rPr>
                <w:rFonts w:hint="eastAsia" w:ascii="CESI仿宋-GB2312" w:hAnsi="CESI仿宋-GB2312" w:eastAsia="CESI仿宋-GB2312" w:cs="CESI仿宋-GB2312"/>
                <w:bCs/>
                <w:szCs w:val="24"/>
                <w:lang w:eastAsia="zh-CN"/>
              </w:rPr>
            </w:pPr>
            <w:r>
              <w:rPr>
                <w:rFonts w:hint="eastAsia" w:ascii="CESI仿宋-GB2312" w:hAnsi="CESI仿宋-GB2312" w:eastAsia="CESI仿宋-GB2312" w:cs="CESI仿宋-GB2312"/>
                <w:bCs/>
                <w:szCs w:val="24"/>
                <w:lang w:eastAsia="zh-CN"/>
              </w:rPr>
              <w:t>广水市住房和城乡建设局</w:t>
            </w:r>
          </w:p>
        </w:tc>
        <w:tc>
          <w:tcPr>
            <w:tcW w:w="523" w:type="dxa"/>
            <w:tcBorders>
              <w:bottom w:val="single" w:color="auto" w:sz="12" w:space="0"/>
            </w:tcBorders>
            <w:noWrap/>
            <w:tcMar>
              <w:top w:w="0" w:type="dxa"/>
              <w:left w:w="84" w:type="dxa"/>
              <w:bottom w:w="0" w:type="dxa"/>
              <w:right w:w="84" w:type="dxa"/>
            </w:tcMar>
            <w:vAlign w:val="top"/>
          </w:tcPr>
          <w:p w14:paraId="28B272F9">
            <w:pPr>
              <w:pStyle w:val="2"/>
              <w:widowControl/>
              <w:spacing w:before="0" w:beforeAutospacing="0" w:after="0" w:afterAutospacing="0" w:line="44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713" w:type="dxa"/>
            <w:tcBorders>
              <w:bottom w:val="single" w:color="auto" w:sz="12" w:space="0"/>
            </w:tcBorders>
            <w:noWrap/>
            <w:tcMar>
              <w:top w:w="0" w:type="dxa"/>
              <w:left w:w="84" w:type="dxa"/>
              <w:bottom w:w="0" w:type="dxa"/>
              <w:right w:w="84" w:type="dxa"/>
            </w:tcMar>
            <w:vAlign w:val="top"/>
          </w:tcPr>
          <w:p w14:paraId="34B86662">
            <w:pPr>
              <w:pStyle w:val="2"/>
              <w:widowControl/>
              <w:spacing w:before="0" w:beforeAutospacing="0" w:after="0" w:afterAutospacing="0" w:line="44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720" w:type="dxa"/>
            <w:tcBorders>
              <w:bottom w:val="single" w:color="auto" w:sz="12" w:space="0"/>
            </w:tcBorders>
            <w:noWrap/>
            <w:tcMar>
              <w:top w:w="0" w:type="dxa"/>
              <w:left w:w="84" w:type="dxa"/>
              <w:bottom w:w="0" w:type="dxa"/>
              <w:right w:w="84" w:type="dxa"/>
            </w:tcMar>
            <w:vAlign w:val="top"/>
          </w:tcPr>
          <w:p w14:paraId="77002D4B">
            <w:pPr>
              <w:pStyle w:val="2"/>
              <w:widowControl/>
              <w:spacing w:before="0" w:beforeAutospacing="0" w:after="0" w:afterAutospacing="0" w:line="440" w:lineRule="exact"/>
              <w:jc w:val="center"/>
              <w:rPr>
                <w:rFonts w:hint="default"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11</w:t>
            </w:r>
          </w:p>
        </w:tc>
        <w:tc>
          <w:tcPr>
            <w:tcW w:w="656" w:type="dxa"/>
            <w:tcBorders>
              <w:bottom w:val="single" w:color="auto" w:sz="12" w:space="0"/>
            </w:tcBorders>
            <w:noWrap/>
            <w:tcMar>
              <w:top w:w="0" w:type="dxa"/>
              <w:left w:w="84" w:type="dxa"/>
              <w:bottom w:w="0" w:type="dxa"/>
              <w:right w:w="84" w:type="dxa"/>
            </w:tcMar>
            <w:vAlign w:val="top"/>
          </w:tcPr>
          <w:p w14:paraId="355F486A">
            <w:pPr>
              <w:pStyle w:val="2"/>
              <w:widowControl/>
              <w:spacing w:before="0" w:beforeAutospacing="0" w:after="0" w:afterAutospacing="0" w:line="44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842" w:type="dxa"/>
            <w:tcBorders>
              <w:bottom w:val="single" w:color="auto" w:sz="12" w:space="0"/>
            </w:tcBorders>
            <w:noWrap/>
            <w:tcMar>
              <w:top w:w="0" w:type="dxa"/>
              <w:left w:w="84" w:type="dxa"/>
              <w:bottom w:w="0" w:type="dxa"/>
              <w:right w:w="84" w:type="dxa"/>
            </w:tcMar>
            <w:vAlign w:val="top"/>
          </w:tcPr>
          <w:p w14:paraId="31249974">
            <w:pPr>
              <w:pStyle w:val="2"/>
              <w:widowControl/>
              <w:spacing w:before="0" w:beforeAutospacing="0" w:after="0" w:afterAutospacing="0" w:line="44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666" w:type="dxa"/>
            <w:tcBorders>
              <w:bottom w:val="single" w:color="auto" w:sz="12" w:space="0"/>
            </w:tcBorders>
            <w:noWrap/>
            <w:tcMar>
              <w:top w:w="0" w:type="dxa"/>
              <w:left w:w="84" w:type="dxa"/>
              <w:bottom w:w="0" w:type="dxa"/>
              <w:right w:w="84" w:type="dxa"/>
            </w:tcMar>
            <w:vAlign w:val="top"/>
          </w:tcPr>
          <w:p w14:paraId="1C1587C0">
            <w:pPr>
              <w:pStyle w:val="2"/>
              <w:widowControl/>
              <w:spacing w:before="0" w:beforeAutospacing="0" w:after="0" w:afterAutospacing="0" w:line="44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766" w:type="dxa"/>
            <w:tcBorders>
              <w:bottom w:val="single" w:color="auto" w:sz="12" w:space="0"/>
            </w:tcBorders>
            <w:noWrap/>
            <w:tcMar>
              <w:top w:w="0" w:type="dxa"/>
              <w:left w:w="84" w:type="dxa"/>
              <w:bottom w:w="0" w:type="dxa"/>
              <w:right w:w="84" w:type="dxa"/>
            </w:tcMar>
            <w:vAlign w:val="top"/>
          </w:tcPr>
          <w:p w14:paraId="354E933D">
            <w:pPr>
              <w:pStyle w:val="2"/>
              <w:widowControl/>
              <w:spacing w:before="0" w:beforeAutospacing="0" w:after="0" w:afterAutospacing="0" w:line="44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693" w:type="dxa"/>
            <w:tcBorders>
              <w:bottom w:val="single" w:color="auto" w:sz="12" w:space="0"/>
            </w:tcBorders>
            <w:noWrap/>
            <w:tcMar>
              <w:top w:w="0" w:type="dxa"/>
              <w:left w:w="84" w:type="dxa"/>
              <w:bottom w:w="0" w:type="dxa"/>
              <w:right w:w="84" w:type="dxa"/>
            </w:tcMar>
            <w:vAlign w:val="top"/>
          </w:tcPr>
          <w:p w14:paraId="45C5FC2B">
            <w:pPr>
              <w:pStyle w:val="2"/>
              <w:widowControl/>
              <w:spacing w:before="0" w:beforeAutospacing="0" w:after="0" w:afterAutospacing="0" w:line="44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583" w:type="dxa"/>
            <w:tcBorders>
              <w:bottom w:val="single" w:color="auto" w:sz="12" w:space="0"/>
            </w:tcBorders>
            <w:noWrap/>
            <w:tcMar>
              <w:top w:w="0" w:type="dxa"/>
              <w:left w:w="84" w:type="dxa"/>
              <w:bottom w:w="0" w:type="dxa"/>
              <w:right w:w="84" w:type="dxa"/>
            </w:tcMar>
            <w:vAlign w:val="top"/>
          </w:tcPr>
          <w:p w14:paraId="00D3B34B">
            <w:pPr>
              <w:pStyle w:val="2"/>
              <w:widowControl/>
              <w:spacing w:before="0" w:beforeAutospacing="0" w:after="0" w:afterAutospacing="0" w:line="44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754" w:type="dxa"/>
            <w:tcBorders>
              <w:bottom w:val="single" w:color="auto" w:sz="12" w:space="0"/>
            </w:tcBorders>
            <w:noWrap/>
            <w:tcMar>
              <w:top w:w="0" w:type="dxa"/>
              <w:left w:w="84" w:type="dxa"/>
              <w:bottom w:w="0" w:type="dxa"/>
              <w:right w:w="84" w:type="dxa"/>
            </w:tcMar>
            <w:vAlign w:val="top"/>
          </w:tcPr>
          <w:p w14:paraId="1C0DBA2F">
            <w:pPr>
              <w:pStyle w:val="2"/>
              <w:widowControl/>
              <w:spacing w:before="0" w:beforeAutospacing="0" w:after="0" w:afterAutospacing="0" w:line="44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959" w:type="dxa"/>
            <w:tcBorders>
              <w:bottom w:val="single" w:color="auto" w:sz="12" w:space="0"/>
            </w:tcBorders>
            <w:noWrap/>
            <w:tcMar>
              <w:top w:w="0" w:type="dxa"/>
              <w:left w:w="84" w:type="dxa"/>
              <w:bottom w:w="0" w:type="dxa"/>
              <w:right w:w="84" w:type="dxa"/>
            </w:tcMar>
            <w:vAlign w:val="top"/>
          </w:tcPr>
          <w:p w14:paraId="1EBB2D97">
            <w:pPr>
              <w:pStyle w:val="2"/>
              <w:widowControl/>
              <w:spacing w:before="0" w:beforeAutospacing="0" w:after="0" w:afterAutospacing="0" w:line="440" w:lineRule="exact"/>
              <w:jc w:val="center"/>
              <w:rPr>
                <w:rFonts w:hint="eastAsia"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0</w:t>
            </w:r>
          </w:p>
        </w:tc>
        <w:tc>
          <w:tcPr>
            <w:tcW w:w="663" w:type="dxa"/>
            <w:tcBorders>
              <w:bottom w:val="single" w:color="auto" w:sz="12" w:space="0"/>
            </w:tcBorders>
            <w:noWrap/>
            <w:tcMar>
              <w:top w:w="0" w:type="dxa"/>
              <w:left w:w="84" w:type="dxa"/>
              <w:bottom w:w="0" w:type="dxa"/>
              <w:right w:w="84" w:type="dxa"/>
            </w:tcMar>
            <w:vAlign w:val="top"/>
          </w:tcPr>
          <w:p w14:paraId="1F329D6F">
            <w:pPr>
              <w:pStyle w:val="2"/>
              <w:widowControl/>
              <w:spacing w:before="0" w:beforeAutospacing="0" w:after="0" w:afterAutospacing="0" w:line="440" w:lineRule="exact"/>
              <w:jc w:val="center"/>
              <w:rPr>
                <w:rFonts w:hint="default" w:ascii="CESI仿宋-GB2312" w:hAnsi="CESI仿宋-GB2312" w:eastAsia="CESI仿宋-GB2312" w:cs="CESI仿宋-GB2312"/>
                <w:bCs/>
                <w:szCs w:val="24"/>
                <w:lang w:val="en-US" w:eastAsia="zh-CN"/>
              </w:rPr>
            </w:pPr>
            <w:r>
              <w:rPr>
                <w:rFonts w:hint="eastAsia" w:ascii="CESI仿宋-GB2312" w:hAnsi="CESI仿宋-GB2312" w:eastAsia="CESI仿宋-GB2312" w:cs="CESI仿宋-GB2312"/>
                <w:bCs/>
                <w:szCs w:val="24"/>
                <w:lang w:val="en-US" w:eastAsia="zh-CN"/>
              </w:rPr>
              <w:t>11</w:t>
            </w:r>
          </w:p>
        </w:tc>
      </w:tr>
    </w:tbl>
    <w:p w14:paraId="412ABA8E">
      <w:pPr>
        <w:spacing w:line="140" w:lineRule="exact"/>
        <w:ind w:firstLine="420" w:firstLineChars="200"/>
        <w:rPr>
          <w:rFonts w:hint="eastAsia" w:ascii="CESI仿宋-GB2312" w:hAnsi="CESI仿宋-GB2312" w:eastAsia="CESI仿宋-GB2312" w:cs="CESI仿宋-GB2312"/>
          <w:szCs w:val="21"/>
        </w:rPr>
      </w:pPr>
    </w:p>
    <w:p w14:paraId="1A1A57A9">
      <w:pPr>
        <w:keepNext w:val="0"/>
        <w:keepLines w:val="0"/>
        <w:pageBreakBefore w:val="0"/>
        <w:widowControl w:val="0"/>
        <w:kinsoku/>
        <w:wordWrap/>
        <w:overflowPunct/>
        <w:topLinePunct w:val="0"/>
        <w:autoSpaceDE/>
        <w:autoSpaceDN/>
        <w:bidi w:val="0"/>
        <w:adjustRightInd/>
        <w:snapToGrid/>
        <w:spacing w:line="240" w:lineRule="exact"/>
        <w:ind w:firstLine="462" w:firstLineChars="200"/>
        <w:textAlignment w:val="auto"/>
        <w:rPr>
          <w:rFonts w:hint="eastAsia" w:ascii="仿宋_GB2312" w:hAnsi="仿宋_GB2312" w:eastAsia="仿宋_GB2312" w:cs="仿宋_GB2312"/>
          <w:sz w:val="23"/>
          <w:szCs w:val="23"/>
          <w:lang w:val="en-US" w:eastAsia="zh-CN"/>
        </w:rPr>
      </w:pPr>
      <w:r>
        <w:rPr>
          <w:rFonts w:hint="eastAsia" w:ascii="仿宋_GB2312" w:hAnsi="仿宋_GB2312" w:eastAsia="仿宋_GB2312" w:cs="仿宋_GB2312"/>
          <w:b/>
          <w:bCs/>
          <w:sz w:val="23"/>
          <w:szCs w:val="23"/>
        </w:rPr>
        <w:t>说明：</w:t>
      </w:r>
      <w:r>
        <w:rPr>
          <w:rFonts w:hint="eastAsia" w:ascii="仿宋_GB2312" w:hAnsi="仿宋_GB2312" w:eastAsia="仿宋_GB2312" w:cs="仿宋_GB2312"/>
          <w:sz w:val="23"/>
          <w:szCs w:val="23"/>
        </w:rPr>
        <w:t>1.“行政征收次数”的统计范围为统计年度1月1日至12月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期间征收完毕的数量。2.“行政检查次数”的统计范围为统计年度1月1日至12月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开展行政检查的次数；检查1个检查对象，有完整、详细检查记录的，计为检查1次；无特定检查对象的巡查、巡逻，无完整、详细检查记录，检查后作出行政处罚等其他行政执法行为的，均不计为检查次数。3.“行政裁决宗数”、“行政确认宗数”、“行政奖励宗数”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期间作出决定的数量。4.“行政给付宗数”的统计范围为统计年度1月1日至12月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期间给付完毕的数量。5.“其他行政执法行为”的统计范围为统计年度1月1日至12月</w:t>
      </w:r>
      <w:r>
        <w:rPr>
          <w:rFonts w:hint="eastAsia" w:ascii="仿宋_GB2312" w:hAnsi="仿宋_GB2312" w:eastAsia="仿宋_GB2312" w:cs="仿宋_GB2312"/>
          <w:sz w:val="23"/>
          <w:szCs w:val="23"/>
          <w:lang w:val="en-US" w:eastAsia="zh-CN"/>
        </w:rPr>
        <w:t>31日</w:t>
      </w:r>
      <w:r>
        <w:rPr>
          <w:rFonts w:hint="eastAsia" w:ascii="仿宋_GB2312" w:hAnsi="仿宋_GB2312" w:eastAsia="仿宋_GB2312" w:cs="仿宋_GB2312"/>
          <w:sz w:val="23"/>
          <w:szCs w:val="23"/>
        </w:rPr>
        <w:t>期间完成的宗数。</w:t>
      </w:r>
    </w:p>
    <w:p w14:paraId="768BF3FE">
      <w:pPr>
        <w:ind w:firstLine="640" w:firstLineChars="200"/>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rPr>
        <w:t>三、</w:t>
      </w:r>
      <w:r>
        <w:rPr>
          <w:rFonts w:hint="eastAsia" w:ascii="CESI黑体-GB2312" w:hAnsi="CESI黑体-GB2312" w:eastAsia="CESI黑体-GB2312" w:cs="CESI黑体-GB2312"/>
          <w:sz w:val="32"/>
          <w:szCs w:val="32"/>
          <w:lang w:val="en-US" w:eastAsia="zh-CN"/>
        </w:rPr>
        <w:t>2024年度行政检查计划执行情况</w:t>
      </w:r>
    </w:p>
    <w:p w14:paraId="36EBEC0C">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2024年度开展执法检查</w:t>
      </w:r>
      <w:r>
        <w:rPr>
          <w:rFonts w:hint="eastAsia" w:ascii="仿宋" w:hAnsi="仿宋" w:eastAsia="仿宋" w:cs="仿宋"/>
          <w:sz w:val="32"/>
          <w:szCs w:val="32"/>
          <w:u w:val="single"/>
          <w:lang w:val="en-US" w:eastAsia="zh-CN"/>
        </w:rPr>
        <w:t>11</w:t>
      </w:r>
      <w:r>
        <w:rPr>
          <w:rFonts w:hint="eastAsia" w:ascii="仿宋" w:hAnsi="仿宋" w:eastAsia="仿宋" w:cs="仿宋"/>
          <w:sz w:val="32"/>
          <w:szCs w:val="32"/>
          <w:lang w:val="en-US" w:eastAsia="zh-CN"/>
        </w:rPr>
        <w:t>次，检查项目</w:t>
      </w:r>
      <w:r>
        <w:rPr>
          <w:rFonts w:hint="eastAsia" w:ascii="仿宋" w:hAnsi="仿宋" w:eastAsia="仿宋" w:cs="仿宋"/>
          <w:sz w:val="32"/>
          <w:szCs w:val="32"/>
          <w:u w:val="single"/>
          <w:lang w:val="en-US" w:eastAsia="zh-CN"/>
        </w:rPr>
        <w:t>3</w:t>
      </w:r>
      <w:r>
        <w:rPr>
          <w:rFonts w:hint="eastAsia" w:ascii="仿宋" w:hAnsi="仿宋" w:eastAsia="仿宋" w:cs="仿宋"/>
          <w:sz w:val="32"/>
          <w:szCs w:val="32"/>
          <w:lang w:val="en-US" w:eastAsia="zh-CN"/>
        </w:rPr>
        <w:t>项，检查合格率</w:t>
      </w:r>
      <w:r>
        <w:rPr>
          <w:rFonts w:hint="eastAsia" w:ascii="仿宋" w:hAnsi="仿宋" w:eastAsia="仿宋" w:cs="仿宋"/>
          <w:sz w:val="32"/>
          <w:szCs w:val="32"/>
          <w:u w:val="single"/>
          <w:lang w:val="en-US" w:eastAsia="zh-CN"/>
        </w:rPr>
        <w:t>90.9</w:t>
      </w:r>
      <w:r>
        <w:rPr>
          <w:rFonts w:hint="eastAsia" w:ascii="仿宋" w:hAnsi="仿宋" w:eastAsia="仿宋" w:cs="仿宋"/>
          <w:sz w:val="32"/>
          <w:szCs w:val="32"/>
          <w:lang w:val="en-US" w:eastAsia="zh-CN"/>
        </w:rPr>
        <w:t>%。</w:t>
      </w:r>
    </w:p>
    <w:p w14:paraId="6C313511">
      <w:pPr>
        <w:ind w:firstLine="640" w:firstLineChars="200"/>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202</w:t>
      </w:r>
      <w:r>
        <w:rPr>
          <w:rFonts w:hint="eastAsia" w:ascii="CESI黑体-GB2312" w:hAnsi="CESI黑体-GB2312" w:eastAsia="CESI黑体-GB2312" w:cs="CESI黑体-GB2312"/>
          <w:sz w:val="32"/>
          <w:szCs w:val="32"/>
          <w:lang w:val="en-US" w:eastAsia="zh-CN"/>
        </w:rPr>
        <w:t>4</w:t>
      </w:r>
      <w:r>
        <w:rPr>
          <w:rFonts w:hint="eastAsia" w:ascii="CESI黑体-GB2312" w:hAnsi="CESI黑体-GB2312" w:eastAsia="CESI黑体-GB2312" w:cs="CESI黑体-GB2312"/>
          <w:sz w:val="32"/>
          <w:szCs w:val="32"/>
        </w:rPr>
        <w:t>年度行政执法投诉、举报案件情况</w:t>
      </w:r>
    </w:p>
    <w:p w14:paraId="6618E01F">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2024年度本机关共受理举报投诉</w:t>
      </w:r>
      <w:r>
        <w:rPr>
          <w:rFonts w:hint="eastAsia" w:ascii="CESI仿宋-GB2312" w:hAnsi="CESI仿宋-GB2312" w:eastAsia="CESI仿宋-GB2312" w:cs="CESI仿宋-GB2312"/>
          <w:sz w:val="32"/>
          <w:szCs w:val="32"/>
          <w:u w:val="single"/>
          <w:lang w:val="en-US" w:eastAsia="zh-CN"/>
        </w:rPr>
        <w:t xml:space="preserve">  0 </w:t>
      </w:r>
      <w:r>
        <w:rPr>
          <w:rFonts w:hint="eastAsia" w:ascii="CESI仿宋-GB2312" w:hAnsi="CESI仿宋-GB2312" w:eastAsia="CESI仿宋-GB2312" w:cs="CESI仿宋-GB2312"/>
          <w:sz w:val="32"/>
          <w:szCs w:val="32"/>
          <w:lang w:val="en-US" w:eastAsia="zh-CN"/>
        </w:rPr>
        <w:t>件，按程序办结</w:t>
      </w:r>
      <w:r>
        <w:rPr>
          <w:rFonts w:hint="eastAsia" w:ascii="CESI仿宋-GB2312" w:hAnsi="CESI仿宋-GB2312" w:eastAsia="CESI仿宋-GB2312" w:cs="CESI仿宋-GB2312"/>
          <w:sz w:val="32"/>
          <w:szCs w:val="32"/>
          <w:u w:val="single"/>
          <w:lang w:val="en-US" w:eastAsia="zh-CN"/>
        </w:rPr>
        <w:t xml:space="preserve">  0 </w:t>
      </w:r>
      <w:r>
        <w:rPr>
          <w:rFonts w:hint="eastAsia" w:ascii="CESI仿宋-GB2312" w:hAnsi="CESI仿宋-GB2312" w:eastAsia="CESI仿宋-GB2312" w:cs="CESI仿宋-GB2312"/>
          <w:sz w:val="32"/>
          <w:szCs w:val="32"/>
          <w:lang w:val="en-US" w:eastAsia="zh-CN"/>
        </w:rPr>
        <w:t>件。</w:t>
      </w:r>
    </w:p>
    <w:p w14:paraId="6DBF343C">
      <w:pPr>
        <w:numPr>
          <w:ilvl w:val="0"/>
          <w:numId w:val="0"/>
        </w:numPr>
        <w:ind w:firstLine="640" w:firstLineChars="200"/>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五、</w:t>
      </w:r>
      <w:r>
        <w:rPr>
          <w:rFonts w:hint="eastAsia" w:ascii="CESI黑体-GB2312" w:hAnsi="CESI黑体-GB2312" w:eastAsia="CESI黑体-GB2312" w:cs="CESI黑体-GB2312"/>
          <w:sz w:val="32"/>
          <w:szCs w:val="32"/>
        </w:rPr>
        <w:t>其他需要公示的统计数据</w:t>
      </w:r>
    </w:p>
    <w:p w14:paraId="25433391">
      <w:pPr>
        <w:widowControl w:val="0"/>
        <w:numPr>
          <w:ilvl w:val="0"/>
          <w:numId w:val="0"/>
        </w:numPr>
        <w:ind w:firstLine="640" w:firstLineChars="200"/>
        <w:jc w:val="both"/>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无</w:t>
      </w:r>
    </w:p>
    <w:p w14:paraId="161119DC">
      <w:pPr>
        <w:widowControl w:val="0"/>
        <w:numPr>
          <w:ilvl w:val="0"/>
          <w:numId w:val="0"/>
        </w:numPr>
        <w:wordWrap w:val="0"/>
        <w:ind w:firstLine="4800" w:firstLineChars="1500"/>
        <w:jc w:val="both"/>
        <w:rPr>
          <w:rFonts w:hint="eastAsia" w:ascii="CESI仿宋-GB2312" w:hAnsi="CESI仿宋-GB2312" w:eastAsia="CESI仿宋-GB2312" w:cs="CESI仿宋-GB2312"/>
          <w:sz w:val="32"/>
          <w:szCs w:val="32"/>
          <w:lang w:eastAsia="zh-CN"/>
        </w:rPr>
      </w:pPr>
    </w:p>
    <w:p w14:paraId="70BD72CE">
      <w:pPr>
        <w:widowControl w:val="0"/>
        <w:numPr>
          <w:ilvl w:val="0"/>
          <w:numId w:val="0"/>
        </w:numPr>
        <w:wordWrap w:val="0"/>
        <w:ind w:firstLine="4800" w:firstLineChars="1500"/>
        <w:jc w:val="right"/>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广水市住房和城乡建局</w:t>
      </w:r>
    </w:p>
    <w:p w14:paraId="4249E978">
      <w:pPr>
        <w:widowControl w:val="0"/>
        <w:numPr>
          <w:ilvl w:val="0"/>
          <w:numId w:val="0"/>
        </w:numPr>
        <w:wordWrap w:val="0"/>
        <w:ind w:firstLine="5760" w:firstLineChars="1800"/>
        <w:jc w:val="right"/>
      </w:pPr>
      <w:r>
        <w:rPr>
          <w:rFonts w:hint="eastAsia" w:ascii="CESI仿宋-GB2312" w:hAnsi="CESI仿宋-GB2312" w:eastAsia="CESI仿宋-GB2312" w:cs="CESI仿宋-GB2312"/>
          <w:sz w:val="32"/>
          <w:szCs w:val="32"/>
          <w:lang w:val="en-US" w:eastAsia="zh-CN"/>
        </w:rPr>
        <w:t xml:space="preserve">    2025</w:t>
      </w:r>
      <w:r>
        <w:rPr>
          <w:rFonts w:hint="default" w:ascii="CESI仿宋-GB2312" w:hAnsi="CESI仿宋-GB2312" w:eastAsia="CESI仿宋-GB2312" w:cs="CESI仿宋-GB2312"/>
          <w:sz w:val="32"/>
          <w:szCs w:val="32"/>
        </w:rPr>
        <w:t>年</w:t>
      </w:r>
      <w:r>
        <w:rPr>
          <w:rFonts w:hint="eastAsia" w:ascii="CESI仿宋-GB2312" w:hAnsi="CESI仿宋-GB2312" w:eastAsia="CESI仿宋-GB2312" w:cs="CESI仿宋-GB2312"/>
          <w:sz w:val="32"/>
          <w:szCs w:val="32"/>
          <w:lang w:val="en-US" w:eastAsia="zh-CN"/>
        </w:rPr>
        <w:t>1</w:t>
      </w:r>
      <w:r>
        <w:rPr>
          <w:rFonts w:hint="default"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val="en-US" w:eastAsia="zh-CN"/>
        </w:rPr>
        <w:t>6</w:t>
      </w:r>
      <w:r>
        <w:rPr>
          <w:rFonts w:hint="default" w:ascii="CESI仿宋-GB2312" w:hAnsi="CESI仿宋-GB2312" w:eastAsia="CESI仿宋-GB2312" w:cs="CESI仿宋-GB2312"/>
          <w:sz w:val="32"/>
          <w:szCs w:val="32"/>
        </w:rPr>
        <w:t xml:space="preserve">日     </w:t>
      </w:r>
    </w:p>
    <w:p w14:paraId="1E81ED07">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418" w:bottom="1440"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SI小标宋-GB2312">
    <w:altName w:val="宋体"/>
    <w:panose1 w:val="02000500000000000000"/>
    <w:charset w:val="00"/>
    <w:family w:val="auto"/>
    <w:pitch w:val="default"/>
    <w:sig w:usb0="00000000" w:usb1="00000000" w:usb2="00000010" w:usb3="00000000" w:csb0="0004000F" w:csb1="00000000"/>
  </w:font>
  <w:font w:name="CESI仿宋-GB2312">
    <w:altName w:val="仿宋"/>
    <w:panose1 w:val="02000500000000000000"/>
    <w:charset w:val="00"/>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CESI黑体-GB2312">
    <w:altName w:val="黑体"/>
    <w:panose1 w:val="02000500000000000000"/>
    <w:charset w:val="00"/>
    <w:family w:val="auto"/>
    <w:pitch w:val="default"/>
    <w:sig w:usb0="00000000" w:usb1="00000000" w:usb2="00000012" w:usb3="00000000" w:csb0="0004000F" w:csb1="00000000"/>
  </w:font>
  <w:font w:name="楷体">
    <w:panose1 w:val="02010609060101010101"/>
    <w:charset w:val="86"/>
    <w:family w:val="auto"/>
    <w:pitch w:val="default"/>
    <w:sig w:usb0="800002BF" w:usb1="38CF7CFA" w:usb2="00000016" w:usb3="00000000" w:csb0="00040001" w:csb1="00000000"/>
  </w:font>
  <w:font w:name="CESI楷体-GB2312">
    <w:altName w:val="宋体"/>
    <w:panose1 w:val="02000500000000000000"/>
    <w:charset w:val="00"/>
    <w:family w:val="auto"/>
    <w:pitch w:val="default"/>
    <w:sig w:usb0="00000000" w:usb1="00000000" w:usb2="00000012"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xZDZkMjNlNmU4OTNlNWEwMzRhNzY4YjI5YjBjM2QifQ=="/>
  </w:docVars>
  <w:rsids>
    <w:rsidRoot w:val="0BB318B5"/>
    <w:rsid w:val="04C4374D"/>
    <w:rsid w:val="05C0366A"/>
    <w:rsid w:val="0BB318B5"/>
    <w:rsid w:val="0E6906FE"/>
    <w:rsid w:val="13C032E3"/>
    <w:rsid w:val="1B5857EC"/>
    <w:rsid w:val="31E05861"/>
    <w:rsid w:val="52F1442F"/>
    <w:rsid w:val="5B367A3A"/>
    <w:rsid w:val="61820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99"/>
    <w:pPr>
      <w:spacing w:before="100" w:beforeAutospacing="1" w:after="100" w:afterAutospacing="1"/>
      <w:jc w:val="left"/>
    </w:pPr>
    <w:rPr>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1804</Words>
  <Characters>1901</Characters>
  <Lines>0</Lines>
  <Paragraphs>0</Paragraphs>
  <TotalTime>210</TotalTime>
  <ScaleCrop>false</ScaleCrop>
  <LinksUpToDate>false</LinksUpToDate>
  <CharactersWithSpaces>1918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2023-12-28T01:51:00Z</dcterms:created>
  <dc:creator>段</dc:creator>
  <cp:lastModifiedBy>段</cp:lastModifiedBy>
  <dcterms:modified xsi:type="dcterms:W3CDTF">2025-01-22T01:47:25Z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AABC0D0D0BC344A9B744B07876A7155D_13</vt:lpwstr>
  </property>
  <property fmtid="{D5CDD505-2E9C-101B-9397-08002B2CF9AE}" pid="4" name="KSOTemplateDocerSaveRecord">
    <vt:lpwstr>eyJoZGlkIjoiMmVmM2IzNmNiMzY1ODQxOTg5ZTQxYzU3ODNhMTUyYWUiLCJ1c2VySWQiOiIyNDIyMzQzNDUifQ==</vt:lpwstr>
  </property>
</Properties>
</file>