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b/>
          <w:bCs/>
          <w:color w:val="333333"/>
          <w:sz w:val="36"/>
          <w:szCs w:val="36"/>
        </w:rPr>
      </w:pPr>
    </w:p>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eastAsia="zh-CN"/>
        </w:rPr>
        <w:t>广水市城郊街道办事处</w:t>
      </w:r>
      <w:r>
        <w:rPr>
          <w:rFonts w:hint="eastAsia" w:ascii="宋体" w:hAnsi="宋体" w:eastAsia="宋体" w:cs="宋体"/>
          <w:b/>
          <w:bCs/>
          <w:sz w:val="44"/>
          <w:szCs w:val="44"/>
          <w:lang w:val="en-US" w:eastAsia="zh-CN"/>
        </w:rPr>
        <w:t>2021年政府信息</w:t>
      </w:r>
    </w:p>
    <w:p>
      <w:pPr>
        <w:pStyle w:val="2"/>
        <w:keepNext w:val="0"/>
        <w:keepLines w:val="0"/>
        <w:widowControl/>
        <w:suppressLineNumbers w:val="0"/>
        <w:spacing w:before="0" w:beforeAutospacing="0" w:after="0" w:afterAutospacing="0" w:line="432" w:lineRule="auto"/>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公开工作年度报告</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333333"/>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今年以来，我办在上级部门的正确指导下，认真贯彻落实《中华人民共和国政府信息公开条例》，坚持以“公开为原则，不公开为例外”的总体要求，认真贯彻落实、积极主动做好政府信息公开。</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（一）主动公开情况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动公开了包括机构设置、规划计划、财政预决算、公共资源配置、社会公益事业建设、其他重点信息等领域。除法律、法规规定不予公开及涉密等不予公开的政府信息外，均能规范、及时、准确和完整发布政府信息，确保机关行政公开、公正、透明。</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（二）依申请公开情况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坚持以“答复及时，内容完整，格式规范”为标准，畅通依申请公开受理渠道，规范依申请公开流程。</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（三）政府信息管理情况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明确政府信息公开义务主体。按照“行政性、外部性、独立性”要求，梳理确定了一批政府信息公开义务主体，在政府门户网站上集中公开政府信息公开目录和政府信息公开指南。</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（四）平台建设情况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保障公众的知情权、参与权、表达权和监督权，我办通过政府门户网站开展政府信息公开工作，同时充分发挥门户网站作为政府信息公开第一平台作用，规范政府信息公开专栏设置，按照业务逻辑，对重大建设项目批准和实施领域、公共资源配置领域、社会公益事业建设领域栏目进行细分，实现政府门户网站在一体化平台提供“一件事”集成服务。在完善网站平台建设的同时确保信息内容丰富，网上办事服务完善，信息更新及时准确，努力满足人民群众获取和利用公共信息资源的需求。</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（五）监督保障情况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办切实抓好政务公开工作的落实。在内部监督上，及时公开重大决策及执行情况等事项，进一步增强了机关内部事务的公开性和透明度，保障干部职工的知情权、参与权、表达权与监督权，极大地调动了干部职工的积极性。在外部监督上，政府门户网站发布信息主动接受上级部门监督、检查和指导，通过各方面的信息反馈，及时查找薄弱环节，及时制定整改措施。</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2021年，全</w:t>
      </w:r>
      <w:r>
        <w:rPr>
          <w:rFonts w:hint="eastAsia" w:ascii="仿宋" w:hAnsi="仿宋" w:eastAsia="仿宋" w:cs="仿宋"/>
          <w:sz w:val="32"/>
          <w:szCs w:val="32"/>
          <w:highlight w:val="none"/>
          <w:lang w:val="en-US" w:eastAsia="zh-CN"/>
        </w:rPr>
        <w:t>办通过政府门户网站累计主动公开政府信息48条，其中工作动态32条、部门预决算2条、部门文件1条、公开年报2条、其他11条。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仿宋" w:hAnsi="仿宋" w:eastAsia="仿宋" w:cs="仿宋"/>
          <w:sz w:val="32"/>
          <w:szCs w:val="32"/>
          <w:lang w:val="en-US" w:eastAsia="zh-CN"/>
        </w:rPr>
      </w:pPr>
      <w:r>
        <w:rPr>
          <w:rFonts w:hint="eastAsia" w:ascii="黑体" w:hAnsi="黑体" w:eastAsia="黑体" w:cs="黑体"/>
          <w:b w:val="0"/>
          <w:bCs w:val="0"/>
          <w:color w:val="333333"/>
          <w:sz w:val="32"/>
          <w:szCs w:val="32"/>
        </w:rPr>
        <w:t>二、主动公开政府信息情况</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05"/>
        <w:gridCol w:w="2105"/>
        <w:gridCol w:w="2105"/>
        <w:gridCol w:w="2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信息内容</w:t>
            </w:r>
          </w:p>
        </w:tc>
        <w:tc>
          <w:tcPr>
            <w:tcW w:w="1250" w:type="pct"/>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本年</w:t>
            </w:r>
            <w:r>
              <w:rPr>
                <w:rFonts w:hint="eastAsia" w:ascii="宋体" w:hAnsi="宋体" w:eastAsia="宋体" w:cs="宋体"/>
                <w:color w:val="333333"/>
                <w:kern w:val="0"/>
                <w:sz w:val="21"/>
                <w:szCs w:val="21"/>
                <w:lang w:val="en-US" w:eastAsia="zh-CN" w:bidi="ar"/>
              </w:rPr>
              <w:t>制发件数</w:t>
            </w:r>
          </w:p>
        </w:tc>
        <w:tc>
          <w:tcPr>
            <w:tcW w:w="1250" w:type="pct"/>
            <w:tcBorders>
              <w:top w:val="single" w:color="auto" w:sz="8" w:space="0"/>
              <w:left w:val="nil"/>
              <w:bottom w:val="single" w:color="auto" w:sz="8" w:space="0"/>
              <w:right w:val="single" w:color="auto" w:sz="4"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本年废止件数</w:t>
            </w:r>
          </w:p>
        </w:tc>
        <w:tc>
          <w:tcPr>
            <w:tcW w:w="1250" w:type="pct"/>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现行有效件</w:t>
            </w:r>
            <w:r>
              <w:rPr>
                <w:rFonts w:hint="eastAsia" w:ascii="宋体" w:hAnsi="宋体" w:eastAsia="宋体" w:cs="宋体"/>
                <w:color w:val="333333"/>
                <w:kern w:val="0"/>
                <w:sz w:val="21"/>
                <w:szCs w:val="21"/>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规章</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c>
          <w:tcPr>
            <w:tcW w:w="1250" w:type="pct"/>
            <w:tcBorders>
              <w:top w:val="nil"/>
              <w:left w:val="nil"/>
              <w:bottom w:val="single" w:color="auto" w:sz="8" w:space="0"/>
              <w:right w:val="single" w:color="auto" w:sz="4"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行政规范性文件</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c>
          <w:tcPr>
            <w:tcW w:w="1250" w:type="pct"/>
            <w:tcBorders>
              <w:top w:val="nil"/>
              <w:left w:val="nil"/>
              <w:bottom w:val="single" w:color="auto" w:sz="8" w:space="0"/>
              <w:right w:val="single" w:color="auto" w:sz="4"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4"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single" w:color="auto" w:sz="8" w:space="0"/>
              <w:left w:val="single" w:color="auto" w:sz="8" w:space="0"/>
              <w:bottom w:val="single" w:color="auto" w:sz="8" w:space="0"/>
              <w:right w:val="single" w:color="auto" w:sz="4"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行政许可</w:t>
            </w:r>
          </w:p>
        </w:tc>
        <w:tc>
          <w:tcPr>
            <w:tcW w:w="3750" w:type="pct"/>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sz w:val="21"/>
                <w:szCs w:val="21"/>
              </w:rPr>
            </w:pPr>
            <w:r>
              <w:rPr>
                <w:rFonts w:hint="eastAsia" w:ascii="宋体" w:hAnsi="宋体" w:eastAsia="宋体" w:cs="宋体"/>
                <w:color w:val="00000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行政处罚</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行政强制</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sz w:val="21"/>
                <w:szCs w:val="21"/>
              </w:rPr>
            </w:pPr>
            <w:r>
              <w:rPr>
                <w:rFonts w:hint="eastAsia" w:ascii="宋体" w:hAnsi="宋体" w:eastAsia="宋体" w:cs="宋体"/>
                <w:color w:val="000000"/>
                <w:kern w:val="0"/>
                <w:sz w:val="21"/>
                <w:szCs w:val="21"/>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sz w:val="21"/>
                <w:szCs w:val="21"/>
              </w:rPr>
            </w:pPr>
            <w:r>
              <w:rPr>
                <w:rFonts w:hint="eastAsia" w:ascii="宋体" w:hAnsi="宋体" w:eastAsia="宋体" w:cs="宋体"/>
                <w:color w:val="000000"/>
                <w:kern w:val="0"/>
                <w:sz w:val="21"/>
                <w:szCs w:val="21"/>
                <w:lang w:val="en-US" w:eastAsia="zh-CN" w:bidi="ar"/>
              </w:rPr>
              <w:t>行政事业性收费</w:t>
            </w:r>
          </w:p>
        </w:tc>
        <w:tc>
          <w:tcPr>
            <w:tcW w:w="3750" w:type="pct"/>
            <w:gridSpan w:val="3"/>
            <w:tcBorders>
              <w:top w:val="nil"/>
              <w:left w:val="nil"/>
              <w:bottom w:val="single" w:color="auto" w:sz="8" w:space="0"/>
              <w:right w:val="single" w:color="000000" w:sz="8" w:space="0"/>
            </w:tcBorders>
            <w:shd w:val="clear" w:color="auto" w:fill="auto"/>
            <w:tcMar>
              <w:left w:w="57" w:type="dxa"/>
              <w:right w:w="57" w:type="dxa"/>
            </w:tcMar>
            <w:vAlign w:val="center"/>
          </w:tcPr>
          <w:p>
            <w:pPr>
              <w:jc w:val="center"/>
              <w:rPr>
                <w:rFonts w:hint="eastAsia" w:ascii="宋体" w:hAnsi="宋体" w:eastAsia="宋体" w:cs="宋体"/>
                <w:color w:val="333333"/>
                <w:sz w:val="21"/>
                <w:szCs w:val="21"/>
                <w:lang w:val="en-US" w:eastAsia="zh-CN"/>
              </w:rPr>
            </w:pPr>
            <w:r>
              <w:rPr>
                <w:rFonts w:hint="eastAsia" w:ascii="宋体" w:hAnsi="宋体" w:eastAsia="宋体" w:cs="宋体"/>
                <w:color w:val="333333"/>
                <w:sz w:val="21"/>
                <w:szCs w:val="21"/>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三、收到和处理政府信息公开申请情况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2021年度，我办未收到和处理政府信息公开申请。</w:t>
      </w:r>
    </w:p>
    <w:tbl>
      <w:tblPr>
        <w:tblStyle w:val="3"/>
        <w:tblW w:w="493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57" w:type="dxa"/>
          <w:bottom w:w="0" w:type="dxa"/>
          <w:right w:w="57" w:type="dxa"/>
        </w:tblCellMar>
      </w:tblPr>
      <w:tblGrid>
        <w:gridCol w:w="643"/>
        <w:gridCol w:w="788"/>
        <w:gridCol w:w="2813"/>
        <w:gridCol w:w="587"/>
        <w:gridCol w:w="587"/>
        <w:gridCol w:w="587"/>
        <w:gridCol w:w="587"/>
        <w:gridCol w:w="587"/>
        <w:gridCol w:w="595"/>
        <w:gridCol w:w="5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6" w:type="pct"/>
            <w:gridSpan w:val="3"/>
            <w:vMerge w:val="restart"/>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pPr>
            <w:r>
              <w:rPr>
                <w:rFonts w:hint="eastAsia" w:ascii="楷体" w:hAnsi="楷体" w:eastAsia="楷体" w:cs="楷体"/>
                <w:color w:val="333333"/>
                <w:kern w:val="0"/>
                <w:sz w:val="20"/>
                <w:szCs w:val="20"/>
                <w:lang w:val="en-US" w:eastAsia="zh-CN" w:bidi="ar"/>
              </w:rPr>
              <w:t>（本列数据的勾稽关系为：第一项加第二项之和，等于第三项加第四项之和）</w:t>
            </w:r>
          </w:p>
        </w:tc>
        <w:tc>
          <w:tcPr>
            <w:tcW w:w="2463" w:type="pct"/>
            <w:gridSpan w:val="7"/>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6" w:type="pct"/>
            <w:gridSpan w:val="3"/>
            <w:vMerge w:val="continue"/>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jc w:val="left"/>
              <w:rPr>
                <w:rFonts w:hint="eastAsia" w:ascii="宋体" w:hAnsi="宋体" w:eastAsia="宋体" w:cs="宋体"/>
                <w:color w:val="333333"/>
                <w:sz w:val="21"/>
                <w:szCs w:val="21"/>
              </w:rPr>
            </w:pPr>
          </w:p>
        </w:tc>
        <w:tc>
          <w:tcPr>
            <w:tcW w:w="351" w:type="pct"/>
            <w:vMerge w:val="restar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自然人</w:t>
            </w:r>
          </w:p>
        </w:tc>
        <w:tc>
          <w:tcPr>
            <w:tcW w:w="1759" w:type="pct"/>
            <w:gridSpan w:val="5"/>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法人或其他组织</w:t>
            </w:r>
          </w:p>
        </w:tc>
        <w:tc>
          <w:tcPr>
            <w:tcW w:w="352" w:type="pct"/>
            <w:vMerge w:val="restart"/>
            <w:tcBorders>
              <w:top w:val="single" w:color="auto" w:sz="8" w:space="0"/>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6" w:type="pct"/>
            <w:gridSpan w:val="3"/>
            <w:vMerge w:val="continue"/>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jc w:val="left"/>
              <w:rPr>
                <w:rFonts w:hint="eastAsia" w:ascii="宋体" w:hAnsi="宋体" w:eastAsia="宋体" w:cs="宋体"/>
                <w:color w:val="333333"/>
                <w:sz w:val="21"/>
                <w:szCs w:val="21"/>
              </w:rPr>
            </w:pPr>
          </w:p>
        </w:tc>
        <w:tc>
          <w:tcPr>
            <w:tcW w:w="351" w:type="pct"/>
            <w:vMerge w:val="continue"/>
            <w:tcBorders>
              <w:top w:val="nil"/>
              <w:left w:val="nil"/>
              <w:bottom w:val="single" w:color="auto" w:sz="8" w:space="0"/>
              <w:right w:val="single" w:color="auto" w:sz="8" w:space="0"/>
            </w:tcBorders>
            <w:shd w:val="clear" w:color="auto" w:fill="auto"/>
            <w:vAlign w:val="center"/>
          </w:tcPr>
          <w:p>
            <w:pPr>
              <w:jc w:val="left"/>
              <w:rPr>
                <w:rFonts w:hint="eastAsia" w:ascii="宋体" w:hAnsi="宋体" w:eastAsia="宋体" w:cs="宋体"/>
                <w:color w:val="333333"/>
                <w:sz w:val="21"/>
                <w:szCs w:val="21"/>
              </w:rPr>
            </w:pP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企业</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机构</w:t>
            </w:r>
          </w:p>
        </w:tc>
        <w:tc>
          <w:tcPr>
            <w:tcW w:w="351" w:type="pct"/>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社会公益组织</w:t>
            </w:r>
          </w:p>
        </w:tc>
        <w:tc>
          <w:tcPr>
            <w:tcW w:w="351" w:type="pct"/>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法律服务机构</w:t>
            </w:r>
          </w:p>
        </w:tc>
        <w:tc>
          <w:tcPr>
            <w:tcW w:w="355" w:type="pct"/>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其他</w:t>
            </w:r>
          </w:p>
        </w:tc>
        <w:tc>
          <w:tcPr>
            <w:tcW w:w="352" w:type="pct"/>
            <w:vMerge w:val="continue"/>
            <w:tcBorders>
              <w:top w:val="single" w:color="auto" w:sz="8" w:space="0"/>
              <w:left w:val="nil"/>
              <w:bottom w:val="outset" w:color="auto" w:sz="6" w:space="0"/>
              <w:right w:val="single" w:color="auto" w:sz="8" w:space="0"/>
            </w:tcBorders>
            <w:shd w:val="clear" w:color="auto" w:fill="auto"/>
            <w:vAlign w:val="center"/>
          </w:tcPr>
          <w:p>
            <w:pPr>
              <w:jc w:val="left"/>
              <w:rPr>
                <w:rFonts w:hint="eastAsia" w:ascii="宋体" w:hAnsi="宋体" w:eastAsia="宋体" w:cs="宋体"/>
                <w:color w:val="333333"/>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6"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一、本年新收政府信息公开申请数量</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6"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二、上年结转政府信息公开申请数量</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restart"/>
            <w:tcBorders>
              <w:top w:val="nil"/>
              <w:left w:val="single" w:color="auto" w:sz="8" w:space="0"/>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三、本年度办理结果</w:t>
            </w: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（一）予以公开</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（二）部分公开（区分处理的，只计这一情形，不计其他情形）</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restart"/>
            <w:tcBorders>
              <w:top w:val="nil"/>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（三）不予公开</w:t>
            </w: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1.属于国家秘密</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2.其他法律行政法规禁止公开</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3.危及“三安全一稳定”</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4.保护第三方合法权益</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5.属于三类内部事务信息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6.属于四类过程性信息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7.属于行政执法案卷</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8.属于行政查询事项</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restart"/>
            <w:tcBorders>
              <w:top w:val="nil"/>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（四）无法提供</w:t>
            </w: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1.本机关不掌握相关政府信息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2.没有现成信息需要另行制作</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3.补正后申请内容仍不明确</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restart"/>
            <w:tcBorders>
              <w:top w:val="nil"/>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（五）不予处理</w:t>
            </w:r>
          </w:p>
        </w:tc>
        <w:tc>
          <w:tcPr>
            <w:tcW w:w="168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1.信访举报投诉类申请</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2.重复申请</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3.要求提供公开出版物</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4.无正当理由大量反复申请</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trHeight w:val="779" w:hRule="atLeast"/>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nil"/>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5.要求行政机关确认或重新出具已获取信息</w:t>
            </w:r>
          </w:p>
        </w:tc>
        <w:tc>
          <w:tcPr>
            <w:tcW w:w="351"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outset" w:color="auto" w:sz="6"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restart"/>
            <w:tcBorders>
              <w:top w:val="outset" w:color="auto" w:sz="6" w:space="0"/>
              <w:left w:val="nil"/>
              <w:bottom w:val="outset" w:color="auto" w:sz="6"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（六）其他处理</w:t>
            </w:r>
          </w:p>
        </w:tc>
        <w:tc>
          <w:tcPr>
            <w:tcW w:w="168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1.申请人无正当理由逾期不补正、行政机关不再处理其政府信息公开申请</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outset" w:color="auto" w:sz="6" w:space="0"/>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both"/>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333333"/>
                <w:kern w:val="0"/>
                <w:sz w:val="21"/>
                <w:szCs w:val="21"/>
                <w:lang w:val="en-US" w:eastAsia="zh-CN" w:bidi="ar"/>
              </w:rPr>
              <w:t>2.申请人逾期未按收费通知要求缴纳费用、行政机关不再处理其政府信息公开申请</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471" w:type="pct"/>
            <w:vMerge w:val="continue"/>
            <w:tcBorders>
              <w:top w:val="outset" w:color="auto" w:sz="6" w:space="0"/>
              <w:left w:val="nil"/>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168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3.其他</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384" w:type="pct"/>
            <w:vMerge w:val="continue"/>
            <w:tcBorders>
              <w:top w:val="nil"/>
              <w:left w:val="single" w:color="auto" w:sz="8" w:space="0"/>
              <w:bottom w:val="outset" w:color="auto" w:sz="6" w:space="0"/>
              <w:right w:val="single" w:color="auto" w:sz="8" w:space="0"/>
            </w:tcBorders>
            <w:shd w:val="clear" w:color="auto" w:fill="auto"/>
            <w:vAlign w:val="center"/>
          </w:tcPr>
          <w:p>
            <w:pPr>
              <w:jc w:val="left"/>
              <w:rPr>
                <w:rFonts w:hint="eastAsia" w:asciiTheme="minorEastAsia" w:hAnsiTheme="minorEastAsia" w:eastAsiaTheme="minorEastAsia" w:cstheme="minorEastAsia"/>
                <w:color w:val="333333"/>
                <w:sz w:val="21"/>
                <w:szCs w:val="21"/>
              </w:rPr>
            </w:pP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（七）总计</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2536"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四、结转下年度继续办理</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5" w:type="pct"/>
            <w:tcBorders>
              <w:top w:val="nil"/>
              <w:left w:val="nil"/>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352" w:type="pct"/>
            <w:tcBorders>
              <w:top w:val="nil"/>
              <w:left w:val="nil"/>
              <w:bottom w:val="single" w:color="auto" w:sz="8" w:space="0"/>
              <w:right w:val="single" w:color="auto" w:sz="8" w:space="0"/>
            </w:tcBorders>
            <w:shd w:val="clear" w:color="auto" w:fill="auto"/>
            <w:vAlign w:val="top"/>
          </w:tcPr>
          <w:p>
            <w:pPr>
              <w:jc w:val="center"/>
              <w:rPr>
                <w:rFonts w:hint="eastAsia" w:ascii="宋体" w:hAnsi="宋体" w:eastAsia="宋体" w:cs="宋体"/>
                <w:color w:val="333333"/>
                <w:sz w:val="21"/>
                <w:szCs w:val="21"/>
                <w:lang w:val="en-US" w:eastAsia="zh-CN"/>
              </w:rPr>
            </w:pPr>
            <w:r>
              <w:rPr>
                <w:rFonts w:hint="eastAsia" w:ascii="宋体" w:hAnsi="宋体" w:eastAsia="宋体" w:cs="宋体"/>
                <w:color w:val="333333"/>
                <w:sz w:val="21"/>
                <w:szCs w:val="21"/>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center"/>
        <w:rPr>
          <w:rFonts w:hint="eastAsia" w:ascii="宋体" w:hAnsi="宋体" w:eastAsia="宋体" w:cs="宋体"/>
          <w:color w:val="333333"/>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四、政府信息公开行政复议、行政诉讼情况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2021年度没有发生针对我办的有关政府信息公开事务的行政复议、行政诉讼案的情况。</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65"/>
        <w:gridCol w:w="565"/>
        <w:gridCol w:w="565"/>
        <w:gridCol w:w="565"/>
        <w:gridCol w:w="574"/>
        <w:gridCol w:w="566"/>
        <w:gridCol w:w="566"/>
        <w:gridCol w:w="568"/>
        <w:gridCol w:w="568"/>
        <w:gridCol w:w="573"/>
        <w:gridCol w:w="568"/>
        <w:gridCol w:w="568"/>
        <w:gridCol w:w="568"/>
        <w:gridCol w:w="568"/>
        <w:gridCol w:w="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5"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行政复议</w:t>
            </w:r>
          </w:p>
        </w:tc>
        <w:tc>
          <w:tcPr>
            <w:tcW w:w="3334"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结果维持</w:t>
            </w:r>
          </w:p>
        </w:tc>
        <w:tc>
          <w:tcPr>
            <w:tcW w:w="332"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纠正</w:t>
            </w:r>
          </w:p>
        </w:tc>
        <w:tc>
          <w:tcPr>
            <w:tcW w:w="3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结果</w:t>
            </w:r>
          </w:p>
        </w:tc>
        <w:tc>
          <w:tcPr>
            <w:tcW w:w="3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审结</w:t>
            </w:r>
          </w:p>
        </w:tc>
        <w:tc>
          <w:tcPr>
            <w:tcW w:w="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总计</w:t>
            </w:r>
          </w:p>
        </w:tc>
        <w:tc>
          <w:tcPr>
            <w:tcW w:w="1666"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未经复议直接起诉</w:t>
            </w:r>
          </w:p>
        </w:tc>
        <w:tc>
          <w:tcPr>
            <w:tcW w:w="166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Merge w:val="continue"/>
            <w:tcBorders>
              <w:top w:val="nil"/>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color w:val="333333"/>
                <w:sz w:val="21"/>
                <w:szCs w:val="21"/>
              </w:rPr>
            </w:pPr>
          </w:p>
        </w:tc>
        <w:tc>
          <w:tcPr>
            <w:tcW w:w="332" w:type="pct"/>
            <w:vMerge w:val="continue"/>
            <w:tcBorders>
              <w:top w:val="nil"/>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color w:val="333333"/>
                <w:sz w:val="21"/>
                <w:szCs w:val="21"/>
              </w:rPr>
            </w:pPr>
          </w:p>
        </w:tc>
        <w:tc>
          <w:tcPr>
            <w:tcW w:w="33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color w:val="333333"/>
                <w:sz w:val="21"/>
                <w:szCs w:val="21"/>
              </w:rPr>
            </w:pPr>
          </w:p>
        </w:tc>
        <w:tc>
          <w:tcPr>
            <w:tcW w:w="33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color w:val="333333"/>
                <w:sz w:val="21"/>
                <w:szCs w:val="21"/>
              </w:rPr>
            </w:pPr>
          </w:p>
        </w:tc>
        <w:tc>
          <w:tcPr>
            <w:tcW w:w="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color w:val="333333"/>
                <w:sz w:val="21"/>
                <w:szCs w:val="21"/>
              </w:rPr>
            </w:pP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维持</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纠正</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结果</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审结</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000000"/>
                <w:kern w:val="0"/>
                <w:sz w:val="20"/>
                <w:szCs w:val="20"/>
                <w:lang w:val="en-US" w:eastAsia="zh-CN" w:bidi="ar"/>
              </w:rPr>
              <w:t>总计</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维持</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纠正</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000000"/>
                <w:kern w:val="0"/>
                <w:sz w:val="20"/>
                <w:szCs w:val="20"/>
                <w:lang w:val="en-US" w:eastAsia="zh-CN" w:bidi="ar"/>
              </w:rPr>
              <w:t>结果</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333333"/>
                <w:kern w:val="0"/>
                <w:sz w:val="20"/>
                <w:szCs w:val="20"/>
                <w:lang w:val="en-US" w:eastAsia="zh-CN" w:bidi="ar"/>
              </w:rPr>
              <w:t>审结</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pPr>
            <w:r>
              <w:rPr>
                <w:rFonts w:hint="eastAsia" w:ascii="宋体" w:hAnsi="宋体" w:eastAsia="宋体" w:cs="宋体"/>
                <w:color w:val="000000"/>
                <w:kern w:val="0"/>
                <w:sz w:val="20"/>
                <w:szCs w:val="20"/>
                <w:lang w:val="en-US" w:eastAsia="zh-CN"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0" w:lineRule="atLeast"/>
              <w:ind w:left="0" w:leftChars="0" w:right="0" w:rightChars="0" w:firstLine="0" w:firstLineChars="0"/>
              <w:jc w:val="center"/>
              <w:rPr>
                <w:rFonts w:hint="eastAsia" w:eastAsiaTheme="minorEastAsia"/>
                <w:lang w:val="en-US" w:eastAsia="zh-CN"/>
              </w:rPr>
            </w:pPr>
            <w:r>
              <w:rPr>
                <w:rFonts w:hint="eastAsia"/>
                <w:lang w:val="en-US" w:eastAsia="zh-CN"/>
              </w:rPr>
              <w:t>0</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333333"/>
                <w:sz w:val="21"/>
                <w:szCs w:val="21"/>
                <w:lang w:val="en-US" w:eastAsia="zh-CN"/>
              </w:rPr>
            </w:pPr>
            <w:r>
              <w:rPr>
                <w:rFonts w:hint="eastAsia" w:ascii="宋体" w:hAnsi="宋体" w:eastAsia="宋体" w:cs="宋体"/>
                <w:color w:val="333333"/>
                <w:sz w:val="21"/>
                <w:szCs w:val="21"/>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办政府信息公开工作虽然取得了一些成绩，但与中央、省委省政府和市委市政府的要求相比，与人民群众的期望相比，还存在一定的差距和不足，比如：公开的信息量还没有完全满足社会公众对政府信息公开的需求；部分重点领域政务公开内容还有待优化提高质量、数量；政务公开承办人员的综合素质和业务能力还有待进一步提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下一步，我办将切实加强领导，积极探索新办法，采取新举措，提高公开效果，下大力气抓好政府信息公开工作：一是充分发挥新媒体平台的作用，拓宽政务公开渠道，提供交流、互动传播的平台，更好的运用新技术新手段新用户体验扩大政府信息传播范围；二是着力将政务公开打造成部门服务和联系社会公众的桥梁及纽带，规范公开内容，提高公开质量，进一步增强政务公开的广泛性；三是加强政务公开培训，进一步优化政府信息公开质量，提升政府信息公开数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（一）政府信息处理费情况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2021年度，我办没有收取政府信息处理费的情况。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（二）建议提案公开情况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在市委、市政府的领导下和市人大、市政协的关心指导下，城郊街道办事处进一步强化思想认识，完善办理制度，落实办理责任，努力解决群众关心的重点、难点问题，提高站位、以高标准扎实推进建议提案办理工作。全年共承办人大代表建议和政协提案9件（建议4件、提案5件），其中主办0件（建议0件、提案0件）、会办9件（建议4件、提案5件），实现了答复率、见面率、满意率100％。</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（三）重点领域政府信息公开情况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在公益事业建设板块公开发布了广水市城郊街道办事处2021年上半年乡村振兴工作进展和城郊办事处2021年防汛应急演练方案。</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在公共资源配置板块公开发布了2021年城郊街道办事处四类重点对象危房改造情况汇总和城郊街道办事处涉农补贴情况。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B20296-6D16-42BE-BF46-48CECA91C6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1D680D27-3701-415F-B3B2-6C37C15D3D01}"/>
  </w:font>
  <w:font w:name="楷体">
    <w:panose1 w:val="02010609060101010101"/>
    <w:charset w:val="86"/>
    <w:family w:val="auto"/>
    <w:pitch w:val="default"/>
    <w:sig w:usb0="800002BF" w:usb1="38CF7CFA" w:usb2="00000016" w:usb3="00000000" w:csb0="00040001" w:csb1="00000000"/>
    <w:embedRegular r:id="rId3" w:fontKey="{6F268FF8-C8D7-4410-AFDD-EB2EECEA05C6}"/>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B1E27"/>
    <w:rsid w:val="08AA2322"/>
    <w:rsid w:val="1AA34D92"/>
    <w:rsid w:val="238B1E27"/>
    <w:rsid w:val="246E2621"/>
    <w:rsid w:val="269366C5"/>
    <w:rsid w:val="37335977"/>
    <w:rsid w:val="380214FF"/>
    <w:rsid w:val="397119C0"/>
    <w:rsid w:val="3F945235"/>
    <w:rsid w:val="449E11E3"/>
    <w:rsid w:val="51407970"/>
    <w:rsid w:val="51832555"/>
    <w:rsid w:val="64B7234E"/>
    <w:rsid w:val="6D7F4067"/>
    <w:rsid w:val="754567CE"/>
    <w:rsid w:val="763764C8"/>
    <w:rsid w:val="79FB1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2021-12-21T15:19:00Z</dcterms:created>
  <dc:creator>WPS_1624785580</dc:creator>
  <cp:lastModifiedBy>Administrator</cp:lastModifiedBy>
  <dcterms:modified xsi:type="dcterms:W3CDTF">2022-01-10T08:29:37Z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777F53E91E564B3B96F5A1A435D08748</vt:lpwstr>
  </property>
</Properties>
</file>