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Extensions/webExtension1.xml" ContentType="application/vnd.wps-officedocument.webExtension+xml"/>
  <Override PartName="/word/webExtensions/webExtension2.xml" ContentType="application/vnd.wps-officedocument.webExtension+xml"/>
  <Override PartName="/word/webExtensions/webExtension3.xml" ContentType="application/vnd.wps-officedocument.webExtension+xml"/>
  <Override PartName="/word/webExtensions/webExtension4.xml" ContentType="application/vnd.wps-officedocument.webExtension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C65919">
      <w:pPr>
        <w:pStyle w:val="5"/>
        <w:shd w:val="clear" w:color="auto" w:fill="FFFFFF"/>
        <w:spacing w:before="0" w:beforeAutospacing="0" w:after="0" w:afterAutospacing="0" w:line="450" w:lineRule="atLeast"/>
        <w:jc w:val="center"/>
        <w:rPr>
          <w:rFonts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>广水市</w:t>
      </w:r>
      <w:r>
        <w:rPr>
          <w:rFonts w:hint="eastAsia" w:ascii="微软雅黑" w:hAnsi="微软雅黑" w:eastAsia="微软雅黑" w:cs="Arial"/>
          <w:color w:val="333333"/>
          <w:lang w:eastAsia="zh-CN"/>
        </w:rPr>
        <w:t>白泉卫生院</w:t>
      </w:r>
      <w:r>
        <w:rPr>
          <w:rFonts w:hint="eastAsia" w:ascii="微软雅黑" w:hAnsi="微软雅黑" w:eastAsia="微软雅黑" w:cs="Arial"/>
          <w:color w:val="333333"/>
        </w:rPr>
        <w:t>202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2</w:t>
      </w:r>
      <w:r>
        <w:rPr>
          <w:rFonts w:hint="eastAsia" w:ascii="微软雅黑" w:hAnsi="微软雅黑" w:eastAsia="微软雅黑" w:cs="Arial"/>
          <w:color w:val="333333"/>
        </w:rPr>
        <w:t>年部门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决</w:t>
      </w:r>
      <w:r>
        <w:rPr>
          <w:rFonts w:hint="eastAsia" w:ascii="微软雅黑" w:hAnsi="微软雅黑" w:eastAsia="微软雅黑" w:cs="Arial"/>
          <w:color w:val="333333"/>
        </w:rPr>
        <w:t>算信息公开</w:t>
      </w:r>
    </w:p>
    <w:p w14:paraId="2EBE2418">
      <w:pPr>
        <w:pStyle w:val="5"/>
        <w:shd w:val="clear" w:color="auto" w:fill="FFFFFF"/>
        <w:spacing w:before="0" w:beforeAutospacing="0" w:after="0" w:afterAutospacing="0" w:line="450" w:lineRule="atLeast"/>
        <w:jc w:val="center"/>
        <w:rPr>
          <w:rFonts w:ascii="微软雅黑" w:hAnsi="微软雅黑" w:eastAsia="微软雅黑" w:cs="Arial"/>
          <w:b/>
          <w:color w:val="333333"/>
          <w:sz w:val="36"/>
          <w:szCs w:val="36"/>
        </w:rPr>
      </w:pPr>
      <w:r>
        <w:rPr>
          <w:rFonts w:ascii="微软雅黑" w:hAnsi="微软雅黑" w:eastAsia="微软雅黑" w:cs="Arial"/>
          <w:b/>
          <w:color w:val="333333"/>
          <w:sz w:val="36"/>
          <w:szCs w:val="36"/>
        </w:rPr>
        <w:t>目</w:t>
      </w:r>
      <w:r>
        <w:rPr>
          <w:rFonts w:hint="eastAsia" w:ascii="微软雅黑" w:hAnsi="微软雅黑" w:eastAsia="微软雅黑" w:cs="Arial"/>
          <w:b/>
          <w:color w:val="333333"/>
          <w:sz w:val="36"/>
          <w:szCs w:val="36"/>
        </w:rPr>
        <w:t xml:space="preserve">     </w:t>
      </w:r>
      <w:r>
        <w:rPr>
          <w:rFonts w:ascii="微软雅黑" w:hAnsi="微软雅黑" w:eastAsia="微软雅黑" w:cs="Arial"/>
          <w:b/>
          <w:color w:val="333333"/>
          <w:sz w:val="36"/>
          <w:szCs w:val="36"/>
        </w:rPr>
        <w:t>录</w:t>
      </w:r>
    </w:p>
    <w:p w14:paraId="4C31BBDD"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 </w:t>
      </w:r>
    </w:p>
    <w:p w14:paraId="6DA51A73"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b/>
          <w:color w:val="333333"/>
          <w:sz w:val="28"/>
        </w:rPr>
      </w:pPr>
      <w:r>
        <w:rPr>
          <w:rFonts w:ascii="微软雅黑" w:hAnsi="微软雅黑" w:eastAsia="微软雅黑" w:cs="Arial"/>
          <w:color w:val="333333"/>
        </w:rPr>
        <w:t>　　　　</w:t>
      </w:r>
      <w:r>
        <w:rPr>
          <w:rFonts w:ascii="微软雅黑" w:hAnsi="微软雅黑" w:eastAsia="微软雅黑" w:cs="Arial"/>
          <w:b/>
          <w:color w:val="333333"/>
          <w:sz w:val="28"/>
        </w:rPr>
        <w:t xml:space="preserve">第一部分  </w:t>
      </w:r>
      <w:r>
        <w:rPr>
          <w:rFonts w:hint="eastAsia" w:ascii="微软雅黑" w:hAnsi="微软雅黑" w:eastAsia="微软雅黑" w:cs="Arial"/>
          <w:b/>
          <w:color w:val="333333"/>
          <w:sz w:val="28"/>
          <w:lang w:eastAsia="zh-CN"/>
        </w:rPr>
        <w:t>广水市白泉卫生院</w:t>
      </w:r>
      <w:r>
        <w:rPr>
          <w:rFonts w:ascii="微软雅黑" w:hAnsi="微软雅黑" w:eastAsia="微软雅黑" w:cs="Arial"/>
          <w:b/>
          <w:color w:val="333333"/>
          <w:sz w:val="28"/>
        </w:rPr>
        <w:t>概况</w:t>
      </w:r>
    </w:p>
    <w:p w14:paraId="4434FEE4">
      <w:pPr>
        <w:pStyle w:val="5"/>
        <w:numPr>
          <w:ilvl w:val="0"/>
          <w:numId w:val="0"/>
        </w:numPr>
        <w:shd w:val="clear" w:color="auto" w:fill="FFFFFF"/>
        <w:spacing w:before="0" w:beforeAutospacing="0" w:after="0" w:afterAutospacing="0" w:line="450" w:lineRule="atLeast"/>
        <w:ind w:left="960" w:leftChars="0"/>
        <w:rPr>
          <w:rFonts w:hint="eastAsia" w:ascii="微软雅黑" w:hAnsi="微软雅黑" w:eastAsia="微软雅黑" w:cs="Arial"/>
          <w:color w:val="333333"/>
          <w:lang w:val="en-US" w:eastAsia="zh-CN"/>
        </w:rPr>
      </w:pPr>
      <w:r>
        <w:rPr>
          <w:rFonts w:hint="eastAsia" w:ascii="微软雅黑" w:hAnsi="微软雅黑" w:eastAsia="微软雅黑" w:cs="Arial"/>
          <w:color w:val="333333"/>
          <w:lang w:val="en-US" w:eastAsia="zh-CN"/>
        </w:rPr>
        <w:t>一、部门</w:t>
      </w:r>
      <w:r>
        <w:rPr>
          <w:rFonts w:ascii="微软雅黑" w:hAnsi="微软雅黑" w:eastAsia="微软雅黑" w:cs="Arial"/>
          <w:color w:val="333333"/>
        </w:rPr>
        <w:t>主要职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责</w:t>
      </w:r>
    </w:p>
    <w:p w14:paraId="0647FC50">
      <w:pPr>
        <w:pStyle w:val="5"/>
        <w:numPr>
          <w:ilvl w:val="0"/>
          <w:numId w:val="0"/>
        </w:numPr>
        <w:shd w:val="clear" w:color="auto" w:fill="FFFFFF"/>
        <w:spacing w:before="0" w:beforeAutospacing="0" w:after="0" w:afterAutospacing="0" w:line="450" w:lineRule="atLeast"/>
        <w:rPr>
          <w:rFonts w:hint="eastAsia" w:ascii="微软雅黑" w:hAnsi="微软雅黑" w:eastAsia="微软雅黑" w:cs="Arial"/>
          <w:color w:val="333333"/>
          <w:lang w:val="en-US" w:eastAsia="zh-CN"/>
        </w:rPr>
      </w:pPr>
      <w:r>
        <w:rPr>
          <w:rFonts w:ascii="微软雅黑" w:hAnsi="微软雅黑" w:eastAsia="微软雅黑" w:cs="Arial"/>
          <w:color w:val="333333"/>
        </w:rPr>
        <w:t>　　　　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二、机构设置情况</w:t>
      </w:r>
    </w:p>
    <w:p w14:paraId="631F6FDC"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b/>
          <w:color w:val="333333"/>
        </w:rPr>
      </w:pPr>
      <w:r>
        <w:rPr>
          <w:rFonts w:ascii="微软雅黑" w:hAnsi="微软雅黑" w:eastAsia="微软雅黑" w:cs="Arial"/>
          <w:color w:val="333333"/>
        </w:rPr>
        <w:t>　　　　</w:t>
      </w:r>
      <w:r>
        <w:rPr>
          <w:rFonts w:ascii="微软雅黑" w:hAnsi="微软雅黑" w:eastAsia="微软雅黑" w:cs="Arial"/>
          <w:b/>
          <w:color w:val="333333"/>
          <w:sz w:val="28"/>
        </w:rPr>
        <w:t xml:space="preserve">第二部分  </w:t>
      </w:r>
      <w:r>
        <w:rPr>
          <w:rFonts w:hint="eastAsia" w:ascii="微软雅黑" w:hAnsi="微软雅黑" w:eastAsia="微软雅黑" w:cs="Arial"/>
          <w:b/>
          <w:color w:val="333333"/>
          <w:sz w:val="28"/>
          <w:lang w:eastAsia="zh-CN"/>
        </w:rPr>
        <w:t>广水市白泉卫生院</w:t>
      </w:r>
      <w:r>
        <w:rPr>
          <w:rFonts w:ascii="微软雅黑" w:hAnsi="微软雅黑" w:eastAsia="微软雅黑" w:cs="Arial"/>
          <w:b/>
          <w:color w:val="333333"/>
          <w:sz w:val="28"/>
        </w:rPr>
        <w:t>202</w:t>
      </w:r>
      <w:r>
        <w:rPr>
          <w:rFonts w:hint="eastAsia" w:ascii="微软雅黑" w:hAnsi="微软雅黑" w:eastAsia="微软雅黑" w:cs="Arial"/>
          <w:b/>
          <w:color w:val="333333"/>
          <w:sz w:val="28"/>
          <w:lang w:val="en-US" w:eastAsia="zh-CN"/>
        </w:rPr>
        <w:t>2</w:t>
      </w:r>
      <w:r>
        <w:rPr>
          <w:rFonts w:ascii="微软雅黑" w:hAnsi="微软雅黑" w:eastAsia="微软雅黑" w:cs="Arial"/>
          <w:b/>
          <w:color w:val="333333"/>
          <w:sz w:val="28"/>
        </w:rPr>
        <w:t>部门</w:t>
      </w:r>
      <w:r>
        <w:rPr>
          <w:rFonts w:hint="eastAsia" w:ascii="微软雅黑" w:hAnsi="微软雅黑" w:eastAsia="微软雅黑" w:cs="Arial"/>
          <w:b/>
          <w:color w:val="333333"/>
          <w:sz w:val="28"/>
          <w:lang w:val="en-US" w:eastAsia="zh-CN"/>
        </w:rPr>
        <w:t>决</w:t>
      </w:r>
      <w:r>
        <w:rPr>
          <w:rFonts w:ascii="微软雅黑" w:hAnsi="微软雅黑" w:eastAsia="微软雅黑" w:cs="Arial"/>
          <w:b/>
          <w:color w:val="333333"/>
          <w:sz w:val="28"/>
        </w:rPr>
        <w:t>算表</w:t>
      </w:r>
    </w:p>
    <w:p w14:paraId="7EDB83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both"/>
        <w:textAlignment w:val="auto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ascii="微软雅黑" w:hAnsi="微软雅黑" w:eastAsia="微软雅黑" w:cs="Arial"/>
          <w:color w:val="333333"/>
        </w:rPr>
        <w:t>　　　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一、收入支出决算总表</w:t>
      </w:r>
    </w:p>
    <w:p w14:paraId="47CFCD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960" w:firstLineChars="400"/>
        <w:jc w:val="both"/>
        <w:textAlignment w:val="auto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二、收入决算表</w:t>
      </w:r>
    </w:p>
    <w:p w14:paraId="613DDE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960" w:firstLineChars="400"/>
        <w:jc w:val="both"/>
        <w:textAlignment w:val="auto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三、支出决算表</w:t>
      </w:r>
    </w:p>
    <w:p w14:paraId="292E08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960" w:firstLineChars="400"/>
        <w:jc w:val="both"/>
        <w:textAlignment w:val="auto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四、财政拨款收入支出决算总表</w:t>
      </w:r>
    </w:p>
    <w:p w14:paraId="50588B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960" w:firstLineChars="400"/>
        <w:jc w:val="both"/>
        <w:textAlignment w:val="auto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五、一般公共预算财政拨款支出决算表</w:t>
      </w:r>
    </w:p>
    <w:p w14:paraId="7174A9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960" w:firstLineChars="400"/>
        <w:jc w:val="both"/>
        <w:textAlignment w:val="auto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六、一般公共预算财政拨款基本支出决算明细表</w:t>
      </w:r>
    </w:p>
    <w:p w14:paraId="74FDAE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960" w:firstLineChars="400"/>
        <w:jc w:val="both"/>
        <w:textAlignment w:val="auto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七、政府性基金预算财政拨款收入支出决算表</w:t>
      </w:r>
    </w:p>
    <w:p w14:paraId="08EDC8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960" w:firstLineChars="400"/>
        <w:jc w:val="both"/>
        <w:textAlignment w:val="auto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八、国有资本经营预算财政拨款支出决算</w:t>
      </w:r>
    </w:p>
    <w:p w14:paraId="01DEA1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960" w:firstLineChars="400"/>
        <w:jc w:val="both"/>
        <w:textAlignment w:val="auto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九、财政拨款“三公”经费支出决算表</w:t>
      </w:r>
    </w:p>
    <w:p w14:paraId="0E016A8C"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</w:p>
    <w:p w14:paraId="1795D093"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b/>
          <w:color w:val="333333"/>
          <w:sz w:val="28"/>
        </w:rPr>
      </w:pPr>
      <w:r>
        <w:rPr>
          <w:rFonts w:ascii="微软雅黑" w:hAnsi="微软雅黑" w:eastAsia="微软雅黑" w:cs="Arial"/>
          <w:color w:val="333333"/>
        </w:rPr>
        <w:t>　　　　</w:t>
      </w:r>
      <w:r>
        <w:rPr>
          <w:rFonts w:ascii="微软雅黑" w:hAnsi="微软雅黑" w:eastAsia="微软雅黑" w:cs="Arial"/>
          <w:b/>
          <w:color w:val="333333"/>
          <w:sz w:val="28"/>
        </w:rPr>
        <w:t xml:space="preserve">第三部分  </w:t>
      </w:r>
      <w:r>
        <w:rPr>
          <w:rFonts w:hint="eastAsia" w:ascii="微软雅黑" w:hAnsi="微软雅黑" w:eastAsia="微软雅黑" w:cs="Arial"/>
          <w:b/>
          <w:color w:val="333333"/>
          <w:sz w:val="28"/>
          <w:lang w:eastAsia="zh-CN"/>
        </w:rPr>
        <w:t>广水市白泉卫生院</w:t>
      </w:r>
      <w:r>
        <w:rPr>
          <w:rFonts w:ascii="微软雅黑" w:hAnsi="微软雅黑" w:eastAsia="微软雅黑" w:cs="Arial"/>
          <w:b/>
          <w:color w:val="333333"/>
          <w:sz w:val="28"/>
        </w:rPr>
        <w:t>202</w:t>
      </w:r>
      <w:r>
        <w:rPr>
          <w:rFonts w:hint="eastAsia" w:ascii="微软雅黑" w:hAnsi="微软雅黑" w:eastAsia="微软雅黑" w:cs="Arial"/>
          <w:b/>
          <w:color w:val="333333"/>
          <w:sz w:val="28"/>
          <w:lang w:val="en-US" w:eastAsia="zh-CN"/>
        </w:rPr>
        <w:t>2</w:t>
      </w:r>
      <w:r>
        <w:rPr>
          <w:rFonts w:ascii="微软雅黑" w:hAnsi="微软雅黑" w:eastAsia="微软雅黑" w:cs="Arial"/>
          <w:b/>
          <w:color w:val="333333"/>
          <w:sz w:val="28"/>
        </w:rPr>
        <w:t>年部门</w:t>
      </w:r>
      <w:r>
        <w:rPr>
          <w:rFonts w:hint="eastAsia" w:ascii="微软雅黑" w:hAnsi="微软雅黑" w:eastAsia="微软雅黑" w:cs="Arial"/>
          <w:b/>
          <w:color w:val="333333"/>
          <w:sz w:val="28"/>
          <w:lang w:val="en-US" w:eastAsia="zh-CN"/>
        </w:rPr>
        <w:t>决</w:t>
      </w:r>
      <w:r>
        <w:rPr>
          <w:rFonts w:ascii="微软雅黑" w:hAnsi="微软雅黑" w:eastAsia="微软雅黑" w:cs="Arial"/>
          <w:b/>
          <w:color w:val="333333"/>
          <w:sz w:val="28"/>
        </w:rPr>
        <w:t>算情况说明</w:t>
      </w:r>
    </w:p>
    <w:p w14:paraId="264A7B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both"/>
        <w:textAlignment w:val="auto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ascii="微软雅黑" w:hAnsi="微软雅黑" w:eastAsia="微软雅黑" w:cs="Arial"/>
          <w:color w:val="333333"/>
        </w:rPr>
        <w:t>　　　</w:t>
      </w:r>
      <w:r>
        <w:rPr>
          <w:rFonts w:hint="eastAsia" w:ascii="微软雅黑" w:hAnsi="微软雅黑" w:eastAsia="微软雅黑" w:cs="微软雅黑"/>
          <w:color w:val="333333"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一、收入支出决算总体情况说明</w:t>
      </w:r>
    </w:p>
    <w:p w14:paraId="1602B4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960" w:firstLineChars="400"/>
        <w:jc w:val="both"/>
        <w:textAlignment w:val="auto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二、收入决算情况说明</w:t>
      </w:r>
    </w:p>
    <w:p w14:paraId="44F99A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960" w:firstLineChars="400"/>
        <w:jc w:val="both"/>
        <w:textAlignment w:val="auto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三、支出决算情况说明</w:t>
      </w:r>
    </w:p>
    <w:p w14:paraId="7BB63E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960" w:firstLineChars="400"/>
        <w:jc w:val="both"/>
        <w:textAlignment w:val="auto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四、财政拨款收入支出决算总体情况说明</w:t>
      </w:r>
    </w:p>
    <w:p w14:paraId="7C4568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960" w:firstLineChars="400"/>
        <w:jc w:val="both"/>
        <w:textAlignment w:val="auto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五、一般公共预算财政拨款支出决算情况说明</w:t>
      </w:r>
    </w:p>
    <w:p w14:paraId="4ECBF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960" w:firstLineChars="400"/>
        <w:jc w:val="both"/>
        <w:textAlignment w:val="auto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六、一般公共预算财政拨款基本支出决算情况说明</w:t>
      </w:r>
    </w:p>
    <w:p w14:paraId="0000B5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960" w:firstLineChars="400"/>
        <w:jc w:val="both"/>
        <w:textAlignment w:val="auto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七、政府性基金预算财政拨款收入支出决算情况说明 </w:t>
      </w:r>
    </w:p>
    <w:p w14:paraId="71ED2E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Chars="200" w:firstLine="480" w:firstLineChars="200"/>
        <w:jc w:val="both"/>
        <w:textAlignment w:val="auto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八、国有资本经营预算财政拨款支出决算情况说明</w:t>
      </w:r>
    </w:p>
    <w:p w14:paraId="5C9D0C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960" w:firstLineChars="400"/>
        <w:jc w:val="both"/>
        <w:textAlignment w:val="auto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九、财政拨款“三公”经费支出决算情况说明 </w:t>
      </w:r>
    </w:p>
    <w:p w14:paraId="210104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Chars="200" w:firstLine="480" w:firstLineChars="200"/>
        <w:jc w:val="both"/>
        <w:textAlignment w:val="auto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十、机关运行经费支出说明</w:t>
      </w:r>
    </w:p>
    <w:p w14:paraId="2510D8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Chars="200" w:firstLine="480" w:firstLineChars="200"/>
        <w:jc w:val="both"/>
        <w:textAlignment w:val="auto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十一、政府采购支出说明</w:t>
      </w:r>
    </w:p>
    <w:p w14:paraId="5BA3B5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Chars="200" w:firstLine="480" w:firstLineChars="200"/>
        <w:jc w:val="both"/>
        <w:textAlignment w:val="auto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十二、国有资产占用情况说明</w:t>
      </w:r>
    </w:p>
    <w:p w14:paraId="09951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960" w:firstLineChars="400"/>
        <w:jc w:val="both"/>
        <w:textAlignment w:val="auto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十三、预算绩效情况说明</w:t>
      </w:r>
    </w:p>
    <w:p w14:paraId="101D1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960" w:firstLineChars="400"/>
        <w:jc w:val="both"/>
        <w:textAlignment w:val="auto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十四、专项支出、转移支付支出情况说明</w:t>
      </w:r>
    </w:p>
    <w:p w14:paraId="7CE49685">
      <w:pPr>
        <w:pStyle w:val="5"/>
        <w:shd w:val="clear" w:color="auto" w:fill="FFFFFF"/>
        <w:spacing w:before="0" w:beforeAutospacing="0" w:after="0" w:afterAutospacing="0" w:line="450" w:lineRule="atLeast"/>
        <w:ind w:firstLine="960" w:firstLineChars="400"/>
        <w:rPr>
          <w:rFonts w:hint="eastAsia" w:ascii="微软雅黑" w:hAnsi="微软雅黑" w:eastAsia="微软雅黑" w:cs="Arial"/>
          <w:color w:val="333333"/>
          <w:lang w:val="en-US" w:eastAsia="zh-CN"/>
        </w:rPr>
      </w:pPr>
    </w:p>
    <w:p w14:paraId="659BE065">
      <w:pPr>
        <w:pStyle w:val="5"/>
        <w:shd w:val="clear" w:color="auto" w:fill="FFFFFF"/>
        <w:spacing w:before="0" w:beforeAutospacing="0" w:after="0" w:afterAutospacing="0" w:line="450" w:lineRule="atLeast"/>
        <w:rPr>
          <w:rFonts w:hint="eastAsia" w:ascii="微软雅黑" w:hAnsi="微软雅黑" w:eastAsia="微软雅黑" w:cs="Arial"/>
          <w:b/>
          <w:color w:val="333333"/>
          <w:sz w:val="28"/>
          <w:lang w:eastAsia="zh-CN"/>
        </w:rPr>
      </w:pPr>
      <w:r>
        <w:rPr>
          <w:rFonts w:ascii="微软雅黑" w:hAnsi="微软雅黑" w:eastAsia="微软雅黑" w:cs="Arial"/>
          <w:color w:val="333333"/>
          <w:sz w:val="28"/>
        </w:rPr>
        <w:t>　　　</w:t>
      </w:r>
      <w:r>
        <w:rPr>
          <w:rFonts w:hint="eastAsia" w:ascii="微软雅黑" w:hAnsi="微软雅黑" w:eastAsia="微软雅黑" w:cs="Arial"/>
          <w:color w:val="333333"/>
          <w:sz w:val="28"/>
        </w:rPr>
        <w:t xml:space="preserve"> </w:t>
      </w:r>
      <w:r>
        <w:rPr>
          <w:rFonts w:ascii="微软雅黑" w:hAnsi="微软雅黑" w:eastAsia="微软雅黑" w:cs="Arial"/>
          <w:b/>
          <w:color w:val="333333"/>
          <w:sz w:val="28"/>
        </w:rPr>
        <w:t xml:space="preserve">第四部分  </w:t>
      </w:r>
      <w:r>
        <w:rPr>
          <w:rFonts w:hint="eastAsia" w:ascii="微软雅黑" w:hAnsi="微软雅黑" w:eastAsia="微软雅黑" w:cs="Arial"/>
          <w:b/>
          <w:color w:val="333333"/>
          <w:sz w:val="28"/>
          <w:lang w:eastAsia="zh-CN"/>
        </w:rPr>
        <w:t>其他需要说明事项</w:t>
      </w:r>
    </w:p>
    <w:p w14:paraId="2C570D27">
      <w:pPr>
        <w:pStyle w:val="5"/>
        <w:shd w:val="clear" w:color="auto" w:fill="FFFFFF"/>
        <w:spacing w:before="0" w:beforeAutospacing="0" w:after="0" w:afterAutospacing="0" w:line="450" w:lineRule="atLeast"/>
        <w:rPr>
          <w:rFonts w:hint="eastAsia" w:ascii="微软雅黑" w:hAnsi="微软雅黑" w:eastAsia="微软雅黑" w:cs="Arial"/>
          <w:b/>
          <w:color w:val="333333"/>
          <w:sz w:val="28"/>
          <w:lang w:eastAsia="zh-CN"/>
        </w:rPr>
      </w:pPr>
    </w:p>
    <w:p w14:paraId="0BEC9B3C">
      <w:pPr>
        <w:pStyle w:val="5"/>
        <w:shd w:val="clear" w:color="auto" w:fill="FFFFFF"/>
        <w:spacing w:before="0" w:beforeAutospacing="0" w:after="0" w:afterAutospacing="0" w:line="450" w:lineRule="atLeast"/>
        <w:rPr>
          <w:rFonts w:hint="default" w:ascii="微软雅黑" w:hAnsi="微软雅黑" w:eastAsia="微软雅黑" w:cs="Arial"/>
          <w:b/>
          <w:color w:val="333333"/>
          <w:sz w:val="28"/>
          <w:lang w:val="en-US" w:eastAsia="zh-CN"/>
        </w:rPr>
      </w:pPr>
      <w:r>
        <w:rPr>
          <w:rFonts w:hint="eastAsia" w:ascii="微软雅黑" w:hAnsi="微软雅黑" w:eastAsia="微软雅黑" w:cs="Arial"/>
          <w:b/>
          <w:color w:val="333333"/>
          <w:sz w:val="28"/>
          <w:lang w:val="en-US" w:eastAsia="zh-CN"/>
        </w:rPr>
        <w:t xml:space="preserve">       第五部分  名词解释</w:t>
      </w:r>
    </w:p>
    <w:p w14:paraId="31FDD1BD"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 </w:t>
      </w:r>
    </w:p>
    <w:p w14:paraId="5C6DB3B1">
      <w:pPr>
        <w:pStyle w:val="5"/>
        <w:shd w:val="clear" w:color="auto" w:fill="FFFFFF"/>
        <w:spacing w:before="0" w:beforeAutospacing="0" w:after="0" w:afterAutospacing="0" w:line="450" w:lineRule="atLeast"/>
        <w:jc w:val="center"/>
        <w:rPr>
          <w:rFonts w:ascii="微软雅黑" w:hAnsi="微软雅黑" w:eastAsia="微软雅黑" w:cs="Arial"/>
          <w:b/>
          <w:color w:val="333333"/>
          <w:sz w:val="28"/>
        </w:rPr>
      </w:pPr>
      <w:r>
        <w:rPr>
          <w:rFonts w:ascii="微软雅黑" w:hAnsi="微软雅黑" w:eastAsia="微软雅黑" w:cs="Arial"/>
          <w:b/>
          <w:color w:val="333333"/>
          <w:sz w:val="28"/>
        </w:rPr>
        <w:t>第一部分</w:t>
      </w:r>
      <w:r>
        <w:rPr>
          <w:rFonts w:hint="eastAsia" w:ascii="微软雅黑" w:hAnsi="微软雅黑" w:eastAsia="微软雅黑"/>
          <w:b/>
          <w:color w:val="333333"/>
          <w:sz w:val="28"/>
        </w:rPr>
        <w:t> </w:t>
      </w:r>
      <w:r>
        <w:rPr>
          <w:rFonts w:ascii="微软雅黑" w:hAnsi="微软雅黑" w:eastAsia="微软雅黑" w:cs="Arial"/>
          <w:b/>
          <w:color w:val="333333"/>
          <w:sz w:val="28"/>
        </w:rPr>
        <w:t xml:space="preserve"> </w:t>
      </w:r>
      <w:r>
        <w:rPr>
          <w:rFonts w:hint="eastAsia" w:ascii="微软雅黑" w:hAnsi="微软雅黑" w:eastAsia="微软雅黑" w:cs="Arial"/>
          <w:b/>
          <w:color w:val="333333"/>
          <w:sz w:val="28"/>
          <w:lang w:eastAsia="zh-CN"/>
        </w:rPr>
        <w:t>广水市白泉卫生院</w:t>
      </w:r>
      <w:r>
        <w:rPr>
          <w:rFonts w:ascii="微软雅黑" w:hAnsi="微软雅黑" w:eastAsia="微软雅黑" w:cs="Arial"/>
          <w:b/>
          <w:color w:val="333333"/>
          <w:sz w:val="28"/>
        </w:rPr>
        <w:t>概况</w:t>
      </w:r>
    </w:p>
    <w:p w14:paraId="08AA4963">
      <w:pPr>
        <w:pStyle w:val="5"/>
        <w:shd w:val="clear" w:color="auto" w:fill="FFFFFF"/>
        <w:spacing w:before="0" w:beforeAutospacing="0" w:after="0" w:afterAutospacing="0" w:line="450" w:lineRule="atLeast"/>
        <w:jc w:val="center"/>
        <w:rPr>
          <w:rFonts w:ascii="微软雅黑" w:hAnsi="微软雅黑" w:eastAsia="微软雅黑" w:cs="Arial"/>
          <w:b/>
          <w:color w:val="333333"/>
          <w:sz w:val="28"/>
        </w:rPr>
      </w:pPr>
    </w:p>
    <w:p w14:paraId="2C74EFAF">
      <w:pPr>
        <w:pStyle w:val="5"/>
        <w:shd w:val="clear" w:color="auto" w:fill="FFFFFF"/>
        <w:spacing w:before="0" w:beforeAutospacing="0" w:after="0" w:afterAutospacing="0" w:line="450" w:lineRule="atLeast"/>
        <w:rPr>
          <w:rFonts w:hint="eastAsia" w:ascii="微软雅黑" w:hAnsi="微软雅黑" w:eastAsia="微软雅黑" w:cs="Arial"/>
          <w:color w:val="333333"/>
          <w:lang w:eastAsia="zh-CN"/>
        </w:rPr>
      </w:pPr>
      <w:r>
        <w:rPr>
          <w:rFonts w:ascii="微软雅黑" w:hAnsi="微软雅黑" w:eastAsia="微软雅黑" w:cs="Arial"/>
          <w:color w:val="333333"/>
        </w:rPr>
        <w:t>　　一、</w:t>
      </w:r>
      <w:r>
        <w:rPr>
          <w:rFonts w:hint="eastAsia" w:ascii="微软雅黑" w:hAnsi="微软雅黑" w:eastAsia="微软雅黑" w:cs="Arial"/>
          <w:color w:val="333333"/>
          <w:lang w:eastAsia="zh-CN"/>
        </w:rPr>
        <w:t>部门主要职责</w:t>
      </w:r>
    </w:p>
    <w:p w14:paraId="22FFE493">
      <w:pPr>
        <w:pStyle w:val="5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广水市白泉卫生院主要职责如下：</w:t>
      </w:r>
    </w:p>
    <w:p w14:paraId="392E09EF">
      <w:pPr>
        <w:pStyle w:val="5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1、承担基础疾病门诊诊疗、住院治疗。</w:t>
      </w:r>
    </w:p>
    <w:p w14:paraId="1614974C">
      <w:pPr>
        <w:pStyle w:val="5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2、受广水市卫健局委托，承担医疗卫生、公共卫生服务，包括居民健康档案管理、预防接种工作、老年人健康管理、0-6岁儿童健康管理、高血压、糖尿病人健康管理、健康咨询、卫生健康宣传、传染病管理、卫生应急工作等。</w:t>
      </w:r>
    </w:p>
    <w:p w14:paraId="25253880"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</w:p>
    <w:p w14:paraId="7DF345A6">
      <w:pPr>
        <w:pStyle w:val="5"/>
        <w:shd w:val="clear" w:color="auto" w:fill="FFFFFF"/>
        <w:spacing w:before="0" w:beforeAutospacing="0" w:after="0" w:afterAutospacing="0" w:line="450" w:lineRule="atLeast"/>
        <w:rPr>
          <w:rFonts w:hint="eastAsia" w:ascii="微软雅黑" w:hAnsi="微软雅黑" w:eastAsia="微软雅黑" w:cs="Arial"/>
          <w:color w:val="333333"/>
          <w:lang w:eastAsia="zh-CN"/>
        </w:rPr>
      </w:pPr>
      <w:r>
        <w:rPr>
          <w:rFonts w:ascii="微软雅黑" w:hAnsi="微软雅黑" w:eastAsia="微软雅黑" w:cs="Arial"/>
          <w:color w:val="333333"/>
        </w:rPr>
        <w:t>　　二、</w:t>
      </w:r>
      <w:r>
        <w:rPr>
          <w:rFonts w:hint="eastAsia" w:ascii="微软雅黑" w:hAnsi="微软雅黑" w:eastAsia="微软雅黑" w:cs="Arial"/>
          <w:color w:val="333333"/>
          <w:lang w:eastAsia="zh-CN"/>
        </w:rPr>
        <w:t>机构设置情况</w:t>
      </w:r>
    </w:p>
    <w:p w14:paraId="7D257F10">
      <w:pPr>
        <w:ind w:firstLine="64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从单位构成看，广水市白泉卫生院部门决算由实行独立核算的</w:t>
      </w:r>
      <w:r>
        <w:rPr>
          <w:rFonts w:hint="eastAsia" w:ascii="微软雅黑" w:hAnsi="微软雅黑" w:eastAsia="微软雅黑" w:cs="微软雅黑"/>
          <w:sz w:val="24"/>
          <w:szCs w:val="24"/>
          <w:u w:val="single"/>
          <w:lang w:val="en-US" w:eastAsia="zh-CN"/>
        </w:rPr>
        <w:t>广水市白泉卫生院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本级决算和</w:t>
      </w:r>
      <w:r>
        <w:rPr>
          <w:rFonts w:hint="eastAsia" w:ascii="微软雅黑" w:hAnsi="微软雅黑" w:eastAsia="微软雅黑" w:cs="微软雅黑"/>
          <w:sz w:val="24"/>
          <w:szCs w:val="24"/>
          <w:u w:val="single"/>
          <w:lang w:val="en-US" w:eastAsia="zh-CN"/>
        </w:rPr>
        <w:t xml:space="preserve">  0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个下属单位决算组成。</w:t>
      </w:r>
    </w:p>
    <w:p w14:paraId="3F8E659D">
      <w:pPr>
        <w:ind w:firstLine="64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纳入广水市白泉卫生院2022年度部门决算编制范围的二级预算单位包括：</w:t>
      </w:r>
    </w:p>
    <w:p w14:paraId="222C3E85">
      <w:pPr>
        <w:ind w:firstLine="64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1.广水市白泉卫生院（本级）</w:t>
      </w:r>
    </w:p>
    <w:p w14:paraId="7ECD4C22">
      <w:pPr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65190E9"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</w:p>
    <w:p w14:paraId="08D48425">
      <w:pPr>
        <w:pStyle w:val="5"/>
        <w:shd w:val="clear" w:color="auto" w:fill="FFFFFF"/>
        <w:spacing w:before="0" w:beforeAutospacing="0" w:after="0" w:afterAutospacing="0" w:line="450" w:lineRule="atLeast"/>
        <w:jc w:val="center"/>
        <w:rPr>
          <w:rFonts w:ascii="微软雅黑" w:hAnsi="微软雅黑" w:eastAsia="微软雅黑" w:cs="Arial"/>
          <w:b/>
          <w:color w:val="333333"/>
          <w:sz w:val="28"/>
        </w:rPr>
      </w:pPr>
      <w:r>
        <w:rPr>
          <w:rFonts w:ascii="微软雅黑" w:hAnsi="微软雅黑" w:eastAsia="微软雅黑" w:cs="Arial"/>
          <w:b/>
          <w:color w:val="333333"/>
          <w:sz w:val="28"/>
        </w:rPr>
        <w:t>第二部分：202</w:t>
      </w:r>
      <w:r>
        <w:rPr>
          <w:rFonts w:hint="eastAsia" w:ascii="微软雅黑" w:hAnsi="微软雅黑" w:eastAsia="微软雅黑" w:cs="Arial"/>
          <w:b/>
          <w:color w:val="333333"/>
          <w:sz w:val="28"/>
          <w:lang w:val="en-US" w:eastAsia="zh-CN"/>
        </w:rPr>
        <w:t>2</w:t>
      </w:r>
      <w:r>
        <w:rPr>
          <w:rFonts w:ascii="微软雅黑" w:hAnsi="微软雅黑" w:eastAsia="微软雅黑" w:cs="Arial"/>
          <w:b/>
          <w:color w:val="333333"/>
          <w:sz w:val="28"/>
        </w:rPr>
        <w:t>部门决算公开表</w:t>
      </w:r>
    </w:p>
    <w:p w14:paraId="2FD59B8F">
      <w:pPr>
        <w:numPr>
          <w:ilvl w:val="0"/>
          <w:numId w:val="1"/>
        </w:numPr>
        <w:adjustRightInd w:val="0"/>
        <w:snapToGrid w:val="0"/>
        <w:spacing w:line="580" w:lineRule="atLeast"/>
        <w:ind w:right="-512" w:rightChars="-244" w:firstLine="480" w:firstLineChars="200"/>
        <w:jc w:val="left"/>
        <w:rPr>
          <w:rFonts w:hint="default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收入支出决算总表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 xml:space="preserve"> </w:t>
      </w:r>
      <w:bookmarkStart w:id="0" w:name="_GoBack"/>
      <w:r>
        <w:rPr>
          <w:rFonts w:hint="default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5267325" cy="4514850"/>
            <wp:effectExtent l="0" t="0" r="9525" b="0"/>
            <wp:docPr id="1" name="图片 1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6DABA91">
      <w:pPr>
        <w:numPr>
          <w:ilvl w:val="0"/>
          <w:numId w:val="1"/>
        </w:numPr>
        <w:adjustRightInd w:val="0"/>
        <w:snapToGrid w:val="0"/>
        <w:spacing w:line="580" w:lineRule="atLeast"/>
        <w:ind w:left="0" w:leftChars="0" w:firstLine="480" w:firstLineChars="200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收入决算表</w:t>
      </w:r>
    </w:p>
    <w:p w14:paraId="35DDDB81">
      <w:pPr>
        <w:widowControl w:val="0"/>
        <w:numPr>
          <w:ilvl w:val="0"/>
          <w:numId w:val="0"/>
        </w:numPr>
        <w:adjustRightInd w:val="0"/>
        <w:snapToGrid w:val="0"/>
        <w:spacing w:line="580" w:lineRule="atLeast"/>
        <w:jc w:val="both"/>
        <w:rPr>
          <w:rFonts w:hint="default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 xml:space="preserve">           </w:t>
      </w:r>
      <w:r>
        <w:rPr>
          <w:rFonts w:hint="default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5315585" cy="2009775"/>
            <wp:effectExtent l="0" t="0" r="18415" b="9525"/>
            <wp:docPr id="2" name="图片 2" descr="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2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1558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AEC57">
      <w:pPr>
        <w:numPr>
          <w:ilvl w:val="0"/>
          <w:numId w:val="1"/>
        </w:numPr>
        <w:adjustRightInd w:val="0"/>
        <w:snapToGrid w:val="0"/>
        <w:spacing w:line="580" w:lineRule="atLeast"/>
        <w:ind w:left="0" w:leftChars="0" w:firstLine="480" w:firstLineChars="200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支出决算表</w:t>
      </w:r>
    </w:p>
    <w:p w14:paraId="051C3559">
      <w:pPr>
        <w:numPr>
          <w:ilvl w:val="0"/>
          <w:numId w:val="0"/>
        </w:numPr>
        <w:adjustRightInd w:val="0"/>
        <w:snapToGrid w:val="0"/>
        <w:spacing w:line="580" w:lineRule="atLeast"/>
        <w:ind w:leftChars="200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  <w:drawing>
          <wp:inline distT="0" distB="0" distL="114300" distR="114300">
            <wp:extent cx="5271135" cy="2169160"/>
            <wp:effectExtent l="0" t="0" r="5715" b="2540"/>
            <wp:docPr id="3" name="图片 3" descr="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3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6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045EB">
      <w:pPr>
        <w:numPr>
          <w:ilvl w:val="0"/>
          <w:numId w:val="1"/>
        </w:numPr>
        <w:adjustRightInd w:val="0"/>
        <w:snapToGrid w:val="0"/>
        <w:spacing w:line="580" w:lineRule="atLeast"/>
        <w:ind w:left="0" w:leftChars="0" w:firstLine="480" w:firstLineChars="200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财政拨款收入支出决算总表</w:t>
      </w:r>
    </w:p>
    <w:p w14:paraId="6C09950D">
      <w:pPr>
        <w:numPr>
          <w:ilvl w:val="0"/>
          <w:numId w:val="0"/>
        </w:numPr>
        <w:adjustRightInd w:val="0"/>
        <w:snapToGrid w:val="0"/>
        <w:spacing w:line="580" w:lineRule="atLeast"/>
        <w:ind w:leftChars="200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  <w:drawing>
          <wp:inline distT="0" distB="0" distL="114300" distR="114300">
            <wp:extent cx="5269230" cy="4075430"/>
            <wp:effectExtent l="0" t="0" r="7620" b="1270"/>
            <wp:docPr id="4" name="图片 4" descr="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4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07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C6A9D">
      <w:pPr>
        <w:numPr>
          <w:ilvl w:val="0"/>
          <w:numId w:val="1"/>
        </w:numPr>
        <w:adjustRightInd w:val="0"/>
        <w:snapToGrid w:val="0"/>
        <w:spacing w:line="580" w:lineRule="atLeast"/>
        <w:ind w:left="0" w:leftChars="0" w:firstLine="480" w:firstLineChars="200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一般公共预算财政拨款支出决算表</w:t>
      </w:r>
    </w:p>
    <w:p w14:paraId="7D559F46">
      <w:pPr>
        <w:numPr>
          <w:ilvl w:val="0"/>
          <w:numId w:val="0"/>
        </w:numPr>
        <w:adjustRightInd w:val="0"/>
        <w:snapToGrid w:val="0"/>
        <w:spacing w:line="580" w:lineRule="atLeast"/>
        <w:ind w:leftChars="200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5272405" cy="2618105"/>
            <wp:effectExtent l="0" t="0" r="4445" b="10795"/>
            <wp:docPr id="5" name="图片 5" descr="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6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CD4C9">
      <w:pPr>
        <w:numPr>
          <w:ilvl w:val="0"/>
          <w:numId w:val="1"/>
        </w:numPr>
        <w:adjustRightInd w:val="0"/>
        <w:snapToGrid w:val="0"/>
        <w:spacing w:line="580" w:lineRule="atLeast"/>
        <w:ind w:left="0" w:leftChars="0" w:firstLine="480" w:firstLineChars="200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一般公共预算财政拨款基本支出决算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eastAsia="zh-CN"/>
        </w:rPr>
        <w:t>明细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表</w:t>
      </w:r>
    </w:p>
    <w:p w14:paraId="5BBA8B88">
      <w:pPr>
        <w:numPr>
          <w:ilvl w:val="0"/>
          <w:numId w:val="0"/>
        </w:numPr>
        <w:adjustRightInd w:val="0"/>
        <w:snapToGrid w:val="0"/>
        <w:spacing w:line="580" w:lineRule="atLeast"/>
        <w:ind w:leftChars="200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5269230" cy="3135630"/>
            <wp:effectExtent l="0" t="0" r="7620" b="7620"/>
            <wp:docPr id="6" name="图片 6" descr="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77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13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D0754">
      <w:pPr>
        <w:numPr>
          <w:ilvl w:val="0"/>
          <w:numId w:val="1"/>
        </w:numPr>
        <w:adjustRightInd w:val="0"/>
        <w:snapToGrid w:val="0"/>
        <w:spacing w:line="580" w:lineRule="atLeast"/>
        <w:ind w:left="0" w:leftChars="0" w:firstLine="480" w:firstLineChars="200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财政拨款“三公”经费支出决算表</w:t>
      </w:r>
    </w:p>
    <w:p w14:paraId="77D4FC7A">
      <w:pPr>
        <w:numPr>
          <w:ilvl w:val="0"/>
          <w:numId w:val="0"/>
        </w:numPr>
        <w:adjustRightInd w:val="0"/>
        <w:snapToGrid w:val="0"/>
        <w:spacing w:line="580" w:lineRule="atLeast"/>
        <w:ind w:leftChars="200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5272405" cy="1473835"/>
            <wp:effectExtent l="0" t="0" r="4445" b="12065"/>
            <wp:docPr id="7" name="图片 7" descr="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7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47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1BB4F">
      <w:pPr>
        <w:numPr>
          <w:ilvl w:val="0"/>
          <w:numId w:val="1"/>
        </w:numPr>
        <w:adjustRightInd w:val="0"/>
        <w:snapToGrid w:val="0"/>
        <w:spacing w:line="580" w:lineRule="atLeast"/>
        <w:ind w:left="0" w:leftChars="0" w:firstLine="480" w:firstLineChars="200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政府性基金预算财政拨款收入支出决算表</w:t>
      </w:r>
    </w:p>
    <w:p w14:paraId="6E13CFF5">
      <w:pPr>
        <w:numPr>
          <w:ilvl w:val="0"/>
          <w:numId w:val="0"/>
        </w:numPr>
        <w:adjustRightInd w:val="0"/>
        <w:snapToGrid w:val="0"/>
        <w:spacing w:line="580" w:lineRule="atLeast"/>
        <w:ind w:leftChars="200"/>
        <w:rPr>
          <w:rFonts w:hint="default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5273675" cy="1927860"/>
            <wp:effectExtent l="0" t="0" r="3175" b="15240"/>
            <wp:docPr id="8" name="图片 8" descr="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8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30436">
      <w:pPr>
        <w:numPr>
          <w:ilvl w:val="0"/>
          <w:numId w:val="1"/>
        </w:numPr>
        <w:ind w:left="0" w:leftChars="0" w:firstLine="480" w:firstLineChars="200"/>
        <w:jc w:val="both"/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</w:rPr>
        <w:t>国有资本经营预算财政拨款支出决算表</w:t>
      </w:r>
    </w:p>
    <w:p w14:paraId="1C9BF945">
      <w:pPr>
        <w:numPr>
          <w:ilvl w:val="0"/>
          <w:numId w:val="0"/>
        </w:numPr>
        <w:ind w:leftChars="200"/>
        <w:jc w:val="both"/>
        <w:rPr>
          <w:rFonts w:hint="default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5269230" cy="2625725"/>
            <wp:effectExtent l="0" t="0" r="7620" b="3175"/>
            <wp:docPr id="10" name="图片 10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99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2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微软雅黑" w:hAnsi="微软雅黑" w:eastAsia="微软雅黑" w:cs="微软雅黑"/>
          <w:b w:val="0"/>
          <w:bCs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5269230" cy="2625725"/>
            <wp:effectExtent l="0" t="0" r="7620" b="3175"/>
            <wp:docPr id="9" name="图片 9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9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2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6D926">
      <w:pPr>
        <w:pStyle w:val="5"/>
        <w:shd w:val="clear" w:color="auto" w:fill="FFFFFF"/>
        <w:spacing w:before="0" w:beforeAutospacing="0" w:after="0" w:afterAutospacing="0" w:line="450" w:lineRule="atLeast"/>
        <w:jc w:val="center"/>
        <w:rPr>
          <w:rFonts w:hint="eastAsia" w:ascii="微软雅黑" w:hAnsi="微软雅黑" w:eastAsia="微软雅黑" w:cs="微软雅黑"/>
          <w:b w:val="0"/>
          <w:bCs/>
          <w:color w:val="333333"/>
          <w:sz w:val="24"/>
          <w:szCs w:val="24"/>
        </w:rPr>
      </w:pPr>
    </w:p>
    <w:p w14:paraId="33D0FD2E">
      <w:pPr>
        <w:pStyle w:val="5"/>
        <w:shd w:val="clear" w:color="auto" w:fill="FFFFFF"/>
        <w:spacing w:before="0" w:beforeAutospacing="0" w:after="0" w:afterAutospacing="0" w:line="450" w:lineRule="atLeast"/>
        <w:ind w:firstLine="1121" w:firstLineChars="400"/>
        <w:jc w:val="center"/>
        <w:rPr>
          <w:rFonts w:ascii="微软雅黑" w:hAnsi="微软雅黑" w:eastAsia="微软雅黑" w:cs="Arial"/>
          <w:b/>
          <w:color w:val="333333"/>
          <w:sz w:val="28"/>
        </w:rPr>
      </w:pPr>
      <w:r>
        <w:rPr>
          <w:rFonts w:ascii="微软雅黑" w:hAnsi="微软雅黑" w:eastAsia="微软雅黑" w:cs="Arial"/>
          <w:b/>
          <w:color w:val="333333"/>
          <w:sz w:val="28"/>
        </w:rPr>
        <w:t>第三部分 202</w:t>
      </w:r>
      <w:r>
        <w:rPr>
          <w:rFonts w:hint="eastAsia" w:ascii="微软雅黑" w:hAnsi="微软雅黑" w:eastAsia="微软雅黑" w:cs="Arial"/>
          <w:b/>
          <w:color w:val="333333"/>
          <w:sz w:val="28"/>
          <w:lang w:val="en-US" w:eastAsia="zh-CN"/>
        </w:rPr>
        <w:t>2</w:t>
      </w:r>
      <w:r>
        <w:rPr>
          <w:rFonts w:ascii="微软雅黑" w:hAnsi="微软雅黑" w:eastAsia="微软雅黑" w:cs="Arial"/>
          <w:b/>
          <w:color w:val="333333"/>
          <w:sz w:val="28"/>
        </w:rPr>
        <w:t>年部门决算情况说明</w:t>
      </w:r>
    </w:p>
    <w:p w14:paraId="5DC0C5BB">
      <w:pPr>
        <w:adjustRightInd w:val="0"/>
        <w:snapToGrid w:val="0"/>
        <w:spacing w:line="580" w:lineRule="atLeast"/>
        <w:ind w:firstLine="480" w:firstLineChars="200"/>
        <w:rPr>
          <w:rFonts w:hint="eastAsia" w:ascii="微软雅黑" w:hAnsi="微软雅黑" w:eastAsia="微软雅黑" w:cs="Arial"/>
          <w:b/>
          <w:bCs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Arial"/>
          <w:b/>
          <w:bCs/>
          <w:color w:val="333333"/>
          <w:kern w:val="0"/>
          <w:sz w:val="24"/>
          <w:szCs w:val="24"/>
          <w:lang w:val="en-US" w:eastAsia="zh-CN" w:bidi="ar-SA"/>
        </w:rPr>
        <w:t>一、收入支出决算总体情况说明</w:t>
      </w:r>
    </w:p>
    <w:p w14:paraId="581AFFCD">
      <w:pPr>
        <w:adjustRightInd w:val="0"/>
        <w:snapToGrid w:val="0"/>
        <w:spacing w:line="580" w:lineRule="atLeast"/>
        <w:ind w:firstLine="480" w:firstLineChars="200"/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  <w:t>2022年度收、支总计均为7096.03万元。与2021年度相比，收、支总计各增加2389.13万元，增加33.6%，主要原因是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事业收入增加</w:t>
      </w:r>
      <w:r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  <w:t>。</w:t>
      </w:r>
    </w:p>
    <w:p w14:paraId="418D196E">
      <w:pPr>
        <w:adjustRightInd w:val="0"/>
        <w:snapToGrid w:val="0"/>
        <w:spacing w:line="580" w:lineRule="atLeast"/>
        <w:ind w:firstLine="480" w:firstLineChars="200"/>
        <w:jc w:val="center"/>
        <w:rPr>
          <w:rFonts w:hint="eastAsia" w:ascii="微软雅黑" w:hAnsi="微软雅黑" w:eastAsia="微软雅黑" w:cs="微软雅黑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Cs/>
          <w:sz w:val="24"/>
          <w:szCs w:val="24"/>
          <w:highlight w:val="none"/>
          <w:lang w:val="en-US" w:eastAsia="zh-CN"/>
        </w:rPr>
        <w:t>图1：收、支决算总计变动情况</w:t>
      </w:r>
    </w:p>
    <w:p w14:paraId="273460BF">
      <w:pPr>
        <w:adjustRightInd w:val="0"/>
        <w:snapToGrid w:val="0"/>
        <w:spacing w:line="580" w:lineRule="atLeast"/>
        <w:ind w:firstLine="480" w:firstLineChars="200"/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</w:pPr>
    </w:p>
    <w:p w14:paraId="0788A0B8">
      <w:pPr>
        <w:adjustRightInd w:val="0"/>
        <w:snapToGrid w:val="0"/>
        <w:spacing w:line="580" w:lineRule="atLeast"/>
        <w:ind w:firstLine="480" w:firstLineChars="200"/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  <w:drawing>
          <wp:inline distT="0" distB="0" distL="114300" distR="114300">
            <wp:extent cx="5076825" cy="2857500"/>
            <wp:effectExtent l="0" t="0" r="9525" b="0"/>
            <wp:docPr id="11" name="图片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2857500"/>
                    </a:xfrm>
                    <a:prstGeom prst="rect">
                      <a:avLst/>
                    </a:prstGeom>
                    <a:extLst>
                      <wpswe:webExtensionRef xmlns:wpswe="http://www.wps.cn/officeDocument/2018/webExtension" r:id="rId13"/>
                    </a:extLst>
                  </pic:spPr>
                </pic:pic>
              </a:graphicData>
            </a:graphic>
          </wp:inline>
        </w:drawing>
      </w:r>
    </w:p>
    <w:p w14:paraId="58D1EE4B">
      <w:pPr>
        <w:adjustRightInd w:val="0"/>
        <w:snapToGrid w:val="0"/>
        <w:spacing w:line="580" w:lineRule="atLeast"/>
        <w:ind w:firstLine="480" w:firstLineChars="200"/>
        <w:rPr>
          <w:rFonts w:hint="eastAsia" w:ascii="微软雅黑" w:hAnsi="微软雅黑" w:eastAsia="微软雅黑" w:cs="Arial"/>
          <w:b/>
          <w:bCs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Arial"/>
          <w:b/>
          <w:bCs/>
          <w:color w:val="333333"/>
          <w:kern w:val="0"/>
          <w:sz w:val="24"/>
          <w:szCs w:val="24"/>
          <w:lang w:val="en-US" w:eastAsia="zh-CN" w:bidi="ar-SA"/>
        </w:rPr>
        <w:t>二、收入决算情况说明</w:t>
      </w:r>
    </w:p>
    <w:p w14:paraId="4AB1567F">
      <w:pPr>
        <w:bidi w:val="0"/>
        <w:ind w:firstLine="420"/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  <w:t>2022年度收入合计3510.91万元，与2021年度相比，收入合计增加1157.46万元增加33%。其中：财政拨款收入1011.3万元，占本年收入28.8%；政府性基金预算财政拨款1017.54万元，占本年收入28.9%，上级补助28万元，占本年收入0.7%，事业收入为1452.87万元，占本年收入41.3%，其他收入1.2万元，占本年收入0.3%。</w:t>
      </w:r>
    </w:p>
    <w:p w14:paraId="1BD5E0BC">
      <w:pPr>
        <w:bidi w:val="0"/>
        <w:rPr>
          <w:rFonts w:hint="default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default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  <w:drawing>
          <wp:inline distT="0" distB="0" distL="114300" distR="114300">
            <wp:extent cx="5076825" cy="2857500"/>
            <wp:effectExtent l="0" t="0" r="9525" b="0"/>
            <wp:docPr id="14" name="图片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2857500"/>
                    </a:xfrm>
                    <a:prstGeom prst="rect">
                      <a:avLst/>
                    </a:prstGeom>
                    <a:extLst>
                      <wpswe:webExtensionRef xmlns:wpswe="http://www.wps.cn/officeDocument/2018/webExtension" r:id="rId15"/>
                    </a:extLst>
                  </pic:spPr>
                </pic:pic>
              </a:graphicData>
            </a:graphic>
          </wp:inline>
        </w:drawing>
      </w:r>
    </w:p>
    <w:p w14:paraId="4FB4D116">
      <w:pPr>
        <w:adjustRightInd w:val="0"/>
        <w:snapToGrid w:val="0"/>
        <w:spacing w:line="580" w:lineRule="atLeast"/>
        <w:ind w:firstLine="480" w:firstLineChars="200"/>
        <w:rPr>
          <w:rFonts w:hint="eastAsia" w:ascii="微软雅黑" w:hAnsi="微软雅黑" w:eastAsia="微软雅黑" w:cs="Arial"/>
          <w:b/>
          <w:bCs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Arial"/>
          <w:b/>
          <w:bCs/>
          <w:color w:val="333333"/>
          <w:kern w:val="0"/>
          <w:sz w:val="24"/>
          <w:szCs w:val="24"/>
          <w:lang w:val="en-US" w:eastAsia="zh-CN" w:bidi="ar-SA"/>
        </w:rPr>
        <w:t>三、支出决算情况说明</w:t>
      </w:r>
    </w:p>
    <w:p w14:paraId="20F563F5">
      <w:pPr>
        <w:bidi w:val="0"/>
        <w:ind w:firstLine="480" w:firstLineChars="200"/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  <w:t>2022年度支出合计3585.12万元，与2021年度相比，支出合计增加1347.92万元，增加37%。其中：卫生健康支出2567.58万元，占本年支出71.6%；其他支出1017.54万元，占本年支出28.3%。</w:t>
      </w:r>
    </w:p>
    <w:p w14:paraId="3247548F">
      <w:pPr>
        <w:bidi w:val="0"/>
        <w:ind w:firstLine="480" w:firstLineChars="200"/>
        <w:rPr>
          <w:rFonts w:hint="default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default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  <w:drawing>
          <wp:inline distT="0" distB="0" distL="114300" distR="114300">
            <wp:extent cx="5076825" cy="2857500"/>
            <wp:effectExtent l="0" t="0" r="9525" b="0"/>
            <wp:docPr id="15" name="图片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2857500"/>
                    </a:xfrm>
                    <a:prstGeom prst="rect">
                      <a:avLst/>
                    </a:prstGeom>
                    <a:extLst>
                      <wpswe:webExtensionRef xmlns:wpswe="http://www.wps.cn/officeDocument/2018/webExtension" r:id="rId17"/>
                    </a:extLst>
                  </pic:spPr>
                </pic:pic>
              </a:graphicData>
            </a:graphic>
          </wp:inline>
        </w:drawing>
      </w:r>
    </w:p>
    <w:p w14:paraId="03C89722">
      <w:pPr>
        <w:adjustRightInd w:val="0"/>
        <w:snapToGrid w:val="0"/>
        <w:spacing w:line="580" w:lineRule="atLeast"/>
        <w:ind w:firstLine="480" w:firstLineChars="200"/>
        <w:rPr>
          <w:rFonts w:hint="eastAsia" w:ascii="微软雅黑" w:hAnsi="微软雅黑" w:eastAsia="微软雅黑" w:cs="Arial"/>
          <w:b/>
          <w:bCs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Arial"/>
          <w:b/>
          <w:bCs/>
          <w:color w:val="333333"/>
          <w:kern w:val="0"/>
          <w:sz w:val="24"/>
          <w:szCs w:val="24"/>
          <w:lang w:val="en-US" w:eastAsia="zh-CN" w:bidi="ar-SA"/>
        </w:rPr>
        <w:t>四、财政拨款收入支出决算总体情况说明</w:t>
      </w:r>
    </w:p>
    <w:p w14:paraId="01968133">
      <w:pPr>
        <w:bidi w:val="0"/>
        <w:ind w:firstLine="480" w:firstLineChars="200"/>
        <w:rPr>
          <w:rFonts w:hint="eastAsia" w:eastAsia="微软雅黑"/>
          <w:lang w:eastAsia="zh-CN"/>
        </w:rPr>
      </w:pPr>
      <w:r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  <w:t>2022年度财政拨款收、支总计均为2022.6万元。与2021年度相比，财政拨款收、支总计各增加7.9万元，增长0.4%。主要原因是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公共卫生服务经费增加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。</w:t>
      </w:r>
    </w:p>
    <w:p w14:paraId="7B1667C7">
      <w:pPr>
        <w:bidi w:val="0"/>
        <w:ind w:firstLine="480" w:firstLineChars="200"/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  <w:t>2022年度财政拨款收入中，一般公共预算财政拨款收入1011.3万元，比2021年度决算数增加3.95 万元。增加主要原因是公共卫生服务经费增加。政府性基金预算财政拨款收入1017.54万元，比2021年度决算数增加1017.54万元。增加主要原因是2021年无政府性基金预算财政拨款收入。</w:t>
      </w:r>
    </w:p>
    <w:p w14:paraId="4B49C1FA">
      <w:pPr>
        <w:bidi w:val="0"/>
        <w:ind w:firstLine="480" w:firstLineChars="200"/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  <w:drawing>
          <wp:inline distT="0" distB="0" distL="114300" distR="114300">
            <wp:extent cx="5076825" cy="2857500"/>
            <wp:effectExtent l="0" t="0" r="9525" b="0"/>
            <wp:docPr id="16" name="图片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2857500"/>
                    </a:xfrm>
                    <a:prstGeom prst="rect">
                      <a:avLst/>
                    </a:prstGeom>
                    <a:extLst>
                      <wpswe:webExtensionRef xmlns:wpswe="http://www.wps.cn/officeDocument/2018/webExtension" r:id="rId19"/>
                    </a:extLst>
                  </pic:spPr>
                </pic:pic>
              </a:graphicData>
            </a:graphic>
          </wp:inline>
        </w:drawing>
      </w:r>
    </w:p>
    <w:p w14:paraId="73F013DC">
      <w:pPr>
        <w:adjustRightInd w:val="0"/>
        <w:snapToGrid w:val="0"/>
        <w:spacing w:line="580" w:lineRule="atLeast"/>
        <w:ind w:firstLine="480" w:firstLineChars="200"/>
        <w:rPr>
          <w:rFonts w:hint="eastAsia" w:ascii="微软雅黑" w:hAnsi="微软雅黑" w:eastAsia="微软雅黑" w:cs="Arial"/>
          <w:b/>
          <w:bCs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Arial"/>
          <w:b/>
          <w:bCs/>
          <w:color w:val="333333"/>
          <w:kern w:val="0"/>
          <w:sz w:val="24"/>
          <w:szCs w:val="24"/>
          <w:lang w:val="en-US" w:eastAsia="zh-CN" w:bidi="ar-SA"/>
        </w:rPr>
        <w:t>五、一般公共预算财政拨款支出决算情况说明</w:t>
      </w:r>
    </w:p>
    <w:p w14:paraId="666BDCC7">
      <w:pPr>
        <w:bidi w:val="0"/>
        <w:ind w:firstLine="480" w:firstLineChars="200"/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  <w:t>（一）一般公共预算财政拨款支出决算总体情况</w:t>
      </w:r>
    </w:p>
    <w:p w14:paraId="6D4DF1E0">
      <w:pPr>
        <w:bidi w:val="0"/>
        <w:ind w:firstLine="480" w:firstLineChars="200"/>
        <w:rPr>
          <w:rFonts w:hint="eastAsia" w:eastAsia="微软雅黑"/>
          <w:lang w:eastAsia="zh-CN"/>
        </w:rPr>
      </w:pPr>
      <w:r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  <w:t>2022年度一般公共预算财政拨款支出1011.3万元，占本年支出合计的49.8%。与2021年度相比，一般公共预算财政拨款支出增加3.95万元，增长0.4%。主要原因是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公共卫生服务经费增加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。</w:t>
      </w:r>
    </w:p>
    <w:p w14:paraId="3940B66E">
      <w:pPr>
        <w:bidi w:val="0"/>
        <w:ind w:firstLine="480" w:firstLineChars="200"/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  <w:t>（二）一般公共预算财政拨款支出决算结构情况</w:t>
      </w:r>
    </w:p>
    <w:p w14:paraId="208C80E1">
      <w:pPr>
        <w:bidi w:val="0"/>
        <w:ind w:firstLine="480" w:firstLineChars="200"/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  <w:t>2022年度一般公共预算财政拨款支出1011.3万元，主要用于以下方面：</w:t>
      </w:r>
    </w:p>
    <w:p w14:paraId="697F35E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_GB2312" w:eastAsia="仿宋_GB2312"/>
          <w:bCs/>
          <w:kern w:val="44"/>
          <w:sz w:val="32"/>
          <w:szCs w:val="32"/>
          <w:highlight w:val="none"/>
          <w:lang w:val="en-US" w:eastAsia="zh-CN"/>
        </w:rPr>
      </w:pPr>
      <w:r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  <w:t>1.工资福利支出832.03万元，占一般公共预算财政拨款支出的82</w:t>
      </w:r>
      <w:r>
        <w:rPr>
          <w:rFonts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  <w:t>%</w:t>
      </w:r>
      <w:r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  <w:t>。主要是用于员工基本工资、绩效工资、养老保险缴费、职业年金缴费、医疗保险缴费和住房公积金。</w:t>
      </w:r>
    </w:p>
    <w:p w14:paraId="4D015AE8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_GB2312" w:eastAsia="仿宋_GB2312"/>
          <w:bCs/>
          <w:kern w:val="44"/>
          <w:sz w:val="32"/>
          <w:szCs w:val="32"/>
          <w:highlight w:val="none"/>
          <w:lang w:val="en-US" w:eastAsia="zh-CN"/>
        </w:rPr>
      </w:pPr>
      <w:r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  <w:t>2.商品和服务支出179.26万元，占一般公共预算财政拨款支出的18</w:t>
      </w:r>
      <w:r>
        <w:rPr>
          <w:rFonts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  <w:t>%</w:t>
      </w:r>
      <w:r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  <w:t>。主要是用于办公费、印刷费、水电费、邮电费、差旅费、专用材料费、委托业务费、福利费和其他交通费用。</w:t>
      </w:r>
    </w:p>
    <w:p w14:paraId="2D402001">
      <w:pPr>
        <w:bidi w:val="0"/>
        <w:ind w:firstLine="640" w:firstLineChars="200"/>
        <w:rPr>
          <w:rFonts w:hint="default" w:ascii="仿宋_GB2312" w:eastAsia="仿宋_GB2312"/>
          <w:bCs/>
          <w:kern w:val="44"/>
          <w:sz w:val="32"/>
          <w:szCs w:val="32"/>
          <w:highlight w:val="none"/>
          <w:lang w:val="en-US" w:eastAsia="zh-CN"/>
        </w:rPr>
      </w:pPr>
    </w:p>
    <w:p w14:paraId="3FD7AB59">
      <w:pPr>
        <w:adjustRightInd w:val="0"/>
        <w:snapToGrid w:val="0"/>
        <w:spacing w:line="580" w:lineRule="atLeast"/>
        <w:ind w:firstLine="480" w:firstLineChars="200"/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  <w:t>（三）一般公共预算财政拨款支出决算具体情况</w:t>
      </w:r>
    </w:p>
    <w:p w14:paraId="642DFF1E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仿宋_GB2312" w:hAnsi="仿宋_GB2312" w:eastAsia="仿宋_GB2312" w:cs="仿宋_GB2312"/>
          <w:b/>
          <w:bCs w:val="0"/>
          <w:kern w:val="44"/>
          <w:sz w:val="32"/>
          <w:szCs w:val="32"/>
          <w:highlight w:val="none"/>
          <w:lang w:val="en-US"/>
        </w:rPr>
      </w:pPr>
      <w:r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  <w:t>2022年度一般公共预算财政拨款支出年初预算为1873万元，支出决算为1011.3万元，完成年初预算的54%。其中：卫生健康支出为1011.3万元。</w:t>
      </w:r>
    </w:p>
    <w:p w14:paraId="7FF738CB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Arial"/>
          <w:b/>
          <w:bCs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Arial"/>
          <w:b/>
          <w:bCs/>
          <w:color w:val="333333"/>
          <w:kern w:val="0"/>
          <w:sz w:val="24"/>
          <w:szCs w:val="24"/>
          <w:lang w:val="en-US" w:eastAsia="zh-CN" w:bidi="ar-SA"/>
        </w:rPr>
        <w:t>六、一般公共预算财政拨款基本支出决算情况说明</w:t>
      </w:r>
    </w:p>
    <w:p w14:paraId="38C18858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  <w:t>2022年度一般公共预算财政拨款基本支出1011.29万元，其中：</w:t>
      </w:r>
    </w:p>
    <w:p w14:paraId="5997D67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  <w:t>人员经费832.03万元，主要包括：基本工资、津贴补贴、奖金、伙食补助费、绩效工资、机关事业单位基本养老保险缴费、职业年金缴费、职工基本医疗保险缴费、公务员医疗补助缴费、其他社会保障缴费、住房公积金、医疗费、其他工资福利支出、离休费、退休费、退职(役)费、抚恤金、生活补助、救济费、医疗费补助、助学金、奖励金、个人农业生产补贴、代缴社会保险费、其他对个人和家庭的补助。</w:t>
      </w:r>
    </w:p>
    <w:p w14:paraId="3A1DDEBD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  <w:t>公用经费179.26万元，主要包括：办公费、印刷费、咨询费、手续费、水费、电费、邮电费、取暖费、物业管理费、差旅费、因公出国(境)费用、维修(护)费、租赁费、会议费、培训费、公务接待费、专用材料费、被装购置费、专用燃料费、劳务费、委托业务费、工会经费、福利费、公务用车运行维护费、其他交通费用、税金及附加费用、其他商品和服务支出、办公设备购置、专用设备购置、信息网络及软件购置更新、公务用车购置、其他资本性支出。</w:t>
      </w:r>
    </w:p>
    <w:p w14:paraId="335033B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Arial"/>
          <w:b/>
          <w:bCs/>
          <w:color w:val="333333"/>
          <w:kern w:val="0"/>
          <w:sz w:val="24"/>
          <w:szCs w:val="24"/>
          <w:lang w:val="en-US" w:eastAsia="zh-CN" w:bidi="ar-SA"/>
        </w:rPr>
        <w:t>七、政府性基金预算财政拨款收入支出决算情况说明</w:t>
      </w:r>
      <w:r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  <w:t xml:space="preserve"> </w:t>
      </w:r>
    </w:p>
    <w:p w14:paraId="0950A2E0">
      <w:pPr>
        <w:ind w:firstLine="64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  <w:t>2022年度政府性基金预算财政拨款年初结转和结余0万元，本年收入1017.54万元，本年支出1017.54万元，年末结转和结余0万元。</w:t>
      </w:r>
    </w:p>
    <w:p w14:paraId="3B5DCA76">
      <w:pPr>
        <w:adjustRightInd w:val="0"/>
        <w:snapToGrid w:val="0"/>
        <w:spacing w:line="580" w:lineRule="atLeast"/>
        <w:ind w:firstLine="480" w:firstLineChars="200"/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Arial"/>
          <w:b/>
          <w:bCs/>
          <w:color w:val="333333"/>
          <w:kern w:val="0"/>
          <w:sz w:val="24"/>
          <w:szCs w:val="24"/>
          <w:lang w:val="en-US" w:eastAsia="zh-CN" w:bidi="ar-SA"/>
        </w:rPr>
        <w:t>八、国有资本经营预算财政拨款支出决算情况说明</w:t>
      </w:r>
    </w:p>
    <w:p w14:paraId="3989B72E">
      <w:pPr>
        <w:adjustRightInd w:val="0"/>
        <w:snapToGrid w:val="0"/>
        <w:spacing w:line="580" w:lineRule="atLeast"/>
        <w:ind w:firstLine="480" w:firstLineChars="200"/>
        <w:rPr>
          <w:rFonts w:hint="default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Arial"/>
          <w:color w:val="333333"/>
          <w:kern w:val="0"/>
          <w:sz w:val="24"/>
          <w:szCs w:val="24"/>
          <w:lang w:val="en-US" w:eastAsia="zh-CN" w:bidi="ar-SA"/>
        </w:rPr>
        <w:t>2022年度国有资本经营预算财政拨款本年支出0万元。具体支出情况为：本单位2022年无国有资本经营预算财政拨款支出。</w:t>
      </w:r>
    </w:p>
    <w:p w14:paraId="33813B69"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　　</w:t>
      </w:r>
      <w:r>
        <w:rPr>
          <w:rFonts w:hint="eastAsia" w:ascii="微软雅黑" w:hAnsi="微软雅黑" w:eastAsia="微软雅黑" w:cs="Arial"/>
          <w:b/>
          <w:bCs/>
          <w:color w:val="333333"/>
          <w:lang w:val="en-US" w:eastAsia="zh-CN"/>
        </w:rPr>
        <w:t>九</w:t>
      </w:r>
      <w:r>
        <w:rPr>
          <w:rFonts w:ascii="微软雅黑" w:hAnsi="微软雅黑" w:eastAsia="微软雅黑" w:cs="Arial"/>
          <w:b/>
          <w:bCs/>
          <w:color w:val="333333"/>
        </w:rPr>
        <w:t>、</w:t>
      </w:r>
      <w:r>
        <w:rPr>
          <w:rFonts w:hint="eastAsia" w:ascii="微软雅黑" w:hAnsi="微软雅黑" w:eastAsia="微软雅黑" w:cs="Arial"/>
          <w:b/>
          <w:bCs/>
          <w:color w:val="333333"/>
          <w:lang w:val="en-US" w:eastAsia="zh-CN"/>
        </w:rPr>
        <w:t>财政拨款“三公”经费支出决算情况说明</w:t>
      </w:r>
    </w:p>
    <w:p w14:paraId="15FA048D"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hint="eastAsia" w:ascii="微软雅黑" w:hAnsi="微软雅黑" w:eastAsia="微软雅黑" w:cs="Arial"/>
          <w:color w:val="333333"/>
          <w:lang w:val="en-US" w:eastAsia="zh-CN"/>
        </w:rPr>
      </w:pPr>
      <w:r>
        <w:rPr>
          <w:rFonts w:hint="eastAsia" w:ascii="微软雅黑" w:hAnsi="微软雅黑" w:eastAsia="微软雅黑" w:cs="Arial"/>
          <w:color w:val="333333"/>
          <w:lang w:eastAsia="zh-CN"/>
        </w:rPr>
        <w:t>广水市白泉卫生院</w:t>
      </w:r>
      <w:r>
        <w:rPr>
          <w:rFonts w:ascii="微软雅黑" w:hAnsi="微软雅黑" w:eastAsia="微软雅黑" w:cs="Arial"/>
          <w:color w:val="333333"/>
        </w:rPr>
        <w:t>202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2</w:t>
      </w:r>
      <w:r>
        <w:rPr>
          <w:rFonts w:ascii="微软雅黑" w:hAnsi="微软雅黑" w:eastAsia="微软雅黑" w:cs="Arial"/>
          <w:color w:val="333333"/>
        </w:rPr>
        <w:t>年“三公”经费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总支出</w:t>
      </w:r>
      <w:r>
        <w:rPr>
          <w:rFonts w:ascii="微软雅黑" w:hAnsi="微软雅黑" w:eastAsia="微软雅黑" w:cs="Arial"/>
          <w:color w:val="333333"/>
        </w:rPr>
        <w:t>数为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0万</w:t>
      </w:r>
      <w:r>
        <w:rPr>
          <w:rFonts w:ascii="微软雅黑" w:hAnsi="微软雅黑" w:eastAsia="微软雅黑" w:cs="Arial"/>
          <w:color w:val="333333"/>
        </w:rPr>
        <w:t>元，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与年初预算数相比增加0万元，同比增加0</w:t>
      </w:r>
      <w:r>
        <w:rPr>
          <w:rFonts w:hint="eastAsia" w:ascii="微软雅黑" w:hAnsi="微软雅黑" w:eastAsia="微软雅黑" w:cs="Arial"/>
          <w:color w:val="333333"/>
        </w:rPr>
        <w:t>%</w:t>
      </w:r>
      <w:r>
        <w:rPr>
          <w:rFonts w:hint="eastAsia" w:ascii="微软雅黑" w:hAnsi="微软雅黑" w:eastAsia="微软雅黑" w:cs="Arial"/>
          <w:color w:val="333333"/>
          <w:lang w:eastAsia="zh-CN"/>
        </w:rPr>
        <w:t>，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原因为：本单位2022年无三公经费支出，比上年数增加0万元，同比增加0</w:t>
      </w:r>
      <w:r>
        <w:rPr>
          <w:rFonts w:hint="eastAsia" w:ascii="微软雅黑" w:hAnsi="微软雅黑" w:eastAsia="微软雅黑" w:cs="Arial"/>
          <w:color w:val="333333"/>
        </w:rPr>
        <w:t>%</w:t>
      </w:r>
      <w:r>
        <w:rPr>
          <w:rFonts w:hint="eastAsia" w:ascii="微软雅黑" w:hAnsi="微软雅黑" w:eastAsia="微软雅黑" w:cs="Arial"/>
          <w:color w:val="333333"/>
          <w:lang w:eastAsia="zh-CN"/>
        </w:rPr>
        <w:t>，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原因为：本单位2022年无三公经费支出。</w:t>
      </w:r>
    </w:p>
    <w:p w14:paraId="165AABF9"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hint="eastAsia" w:ascii="微软雅黑" w:hAnsi="微软雅黑" w:eastAsia="微软雅黑" w:cs="Arial"/>
          <w:color w:val="333333"/>
          <w:lang w:val="en-US" w:eastAsia="zh-CN"/>
        </w:rPr>
      </w:pPr>
      <w:r>
        <w:rPr>
          <w:rFonts w:ascii="微软雅黑" w:hAnsi="微软雅黑" w:eastAsia="微软雅黑" w:cs="Arial"/>
          <w:color w:val="333333"/>
        </w:rPr>
        <w:t>其中：因公出国（境）费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0万</w:t>
      </w:r>
      <w:r>
        <w:rPr>
          <w:rFonts w:ascii="微软雅黑" w:hAnsi="微软雅黑" w:eastAsia="微软雅黑" w:cs="Arial"/>
          <w:color w:val="333333"/>
        </w:rPr>
        <w:t>元，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因公出国（境）团组数及人数为0，与年初预算数相比增加0万元，同比增加0</w:t>
      </w:r>
      <w:r>
        <w:rPr>
          <w:rFonts w:hint="eastAsia" w:ascii="微软雅黑" w:hAnsi="微软雅黑" w:eastAsia="微软雅黑" w:cs="Arial"/>
          <w:color w:val="333333"/>
        </w:rPr>
        <w:t>%</w:t>
      </w:r>
      <w:r>
        <w:rPr>
          <w:rFonts w:hint="eastAsia" w:ascii="微软雅黑" w:hAnsi="微软雅黑" w:eastAsia="微软雅黑" w:cs="Arial"/>
          <w:color w:val="333333"/>
          <w:lang w:eastAsia="zh-CN"/>
        </w:rPr>
        <w:t>，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原因为：本单位2022年无三公经费支出，比上年数增加0万元，同比增加0</w:t>
      </w:r>
      <w:r>
        <w:rPr>
          <w:rFonts w:hint="eastAsia" w:ascii="微软雅黑" w:hAnsi="微软雅黑" w:eastAsia="微软雅黑" w:cs="Arial"/>
          <w:color w:val="333333"/>
        </w:rPr>
        <w:t>%</w:t>
      </w:r>
      <w:r>
        <w:rPr>
          <w:rFonts w:hint="eastAsia" w:ascii="微软雅黑" w:hAnsi="微软雅黑" w:eastAsia="微软雅黑" w:cs="Arial"/>
          <w:color w:val="333333"/>
          <w:lang w:eastAsia="zh-CN"/>
        </w:rPr>
        <w:t>，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原因为：本单位2022年无三公经费支出；</w:t>
      </w:r>
    </w:p>
    <w:p w14:paraId="3762F0C0"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</w:pP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公务用车购置数0辆，保有量0辆，</w:t>
      </w:r>
      <w:r>
        <w:rPr>
          <w:rFonts w:ascii="微软雅黑" w:hAnsi="微软雅黑" w:eastAsia="微软雅黑" w:cs="Arial"/>
          <w:color w:val="333333"/>
          <w:highlight w:val="none"/>
        </w:rPr>
        <w:t>公务用车购置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0万</w:t>
      </w:r>
      <w:r>
        <w:rPr>
          <w:rFonts w:ascii="微软雅黑" w:hAnsi="微软雅黑" w:eastAsia="微软雅黑" w:cs="Arial"/>
          <w:color w:val="333333"/>
          <w:highlight w:val="none"/>
        </w:rPr>
        <w:t>元，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与年初预算数相比增加0万元，同比增加0</w:t>
      </w:r>
      <w:r>
        <w:rPr>
          <w:rFonts w:hint="eastAsia" w:ascii="微软雅黑" w:hAnsi="微软雅黑" w:eastAsia="微软雅黑" w:cs="Arial"/>
          <w:color w:val="333333"/>
          <w:highlight w:val="none"/>
        </w:rPr>
        <w:t>%</w:t>
      </w:r>
      <w:r>
        <w:rPr>
          <w:rFonts w:hint="eastAsia" w:ascii="微软雅黑" w:hAnsi="微软雅黑" w:eastAsia="微软雅黑" w:cs="Arial"/>
          <w:color w:val="333333"/>
          <w:highlight w:val="none"/>
          <w:lang w:eastAsia="zh-CN"/>
        </w:rPr>
        <w:t>，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原因为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本单位2022年无三公经费支出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，比上年数增加0万元，同比增加0</w:t>
      </w:r>
      <w:r>
        <w:rPr>
          <w:rFonts w:hint="eastAsia" w:ascii="微软雅黑" w:hAnsi="微软雅黑" w:eastAsia="微软雅黑" w:cs="Arial"/>
          <w:color w:val="333333"/>
          <w:highlight w:val="none"/>
        </w:rPr>
        <w:t>%</w:t>
      </w:r>
      <w:r>
        <w:rPr>
          <w:rFonts w:hint="eastAsia" w:ascii="微软雅黑" w:hAnsi="微软雅黑" w:eastAsia="微软雅黑" w:cs="Arial"/>
          <w:color w:val="333333"/>
          <w:highlight w:val="none"/>
          <w:lang w:eastAsia="zh-CN"/>
        </w:rPr>
        <w:t>，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原因为：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本单位2022年无三公经费支出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，</w:t>
      </w:r>
    </w:p>
    <w:p w14:paraId="7DE50914"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</w:pPr>
      <w:r>
        <w:rPr>
          <w:rFonts w:ascii="微软雅黑" w:hAnsi="微软雅黑" w:eastAsia="微软雅黑" w:cs="Arial"/>
          <w:color w:val="333333"/>
          <w:highlight w:val="none"/>
        </w:rPr>
        <w:t>公务用车运行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维护</w:t>
      </w:r>
      <w:r>
        <w:rPr>
          <w:rFonts w:ascii="微软雅黑" w:hAnsi="微软雅黑" w:eastAsia="微软雅黑" w:cs="Arial"/>
          <w:color w:val="333333"/>
          <w:highlight w:val="none"/>
        </w:rPr>
        <w:t>费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0万</w:t>
      </w:r>
      <w:r>
        <w:rPr>
          <w:rFonts w:ascii="微软雅黑" w:hAnsi="微软雅黑" w:eastAsia="微软雅黑" w:cs="Arial"/>
          <w:color w:val="333333"/>
          <w:highlight w:val="none"/>
        </w:rPr>
        <w:t>元，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与年初预算数相比增加0万元，同比增加00</w:t>
      </w:r>
      <w:r>
        <w:rPr>
          <w:rFonts w:hint="eastAsia" w:ascii="微软雅黑" w:hAnsi="微软雅黑" w:eastAsia="微软雅黑" w:cs="Arial"/>
          <w:color w:val="333333"/>
          <w:highlight w:val="none"/>
          <w:lang w:eastAsia="zh-CN"/>
        </w:rPr>
        <w:t>，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原因为：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本单位2022年无三公经费支出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，比上年数增加0万元，同比增加0</w:t>
      </w:r>
      <w:r>
        <w:rPr>
          <w:rFonts w:hint="eastAsia" w:ascii="微软雅黑" w:hAnsi="微软雅黑" w:eastAsia="微软雅黑" w:cs="Arial"/>
          <w:color w:val="333333"/>
          <w:highlight w:val="none"/>
          <w:lang w:eastAsia="zh-CN"/>
        </w:rPr>
        <w:t>，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原因为：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本单位2022年无三公经费支出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；</w:t>
      </w:r>
    </w:p>
    <w:p w14:paraId="3CEDCC29"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hint="default" w:ascii="微软雅黑" w:hAnsi="微软雅黑" w:eastAsia="微软雅黑" w:cs="Arial"/>
          <w:color w:val="333333"/>
          <w:lang w:val="en-US" w:eastAsia="zh-CN"/>
        </w:rPr>
      </w:pPr>
      <w:r>
        <w:rPr>
          <w:rFonts w:ascii="微软雅黑" w:hAnsi="微软雅黑" w:eastAsia="微软雅黑" w:cs="Arial"/>
          <w:color w:val="333333"/>
        </w:rPr>
        <w:t>公务接待费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0万</w:t>
      </w:r>
      <w:r>
        <w:rPr>
          <w:rFonts w:ascii="微软雅黑" w:hAnsi="微软雅黑" w:eastAsia="微软雅黑" w:cs="Arial"/>
          <w:color w:val="333333"/>
        </w:rPr>
        <w:t>元</w:t>
      </w:r>
      <w:r>
        <w:rPr>
          <w:rFonts w:hint="eastAsia" w:ascii="微软雅黑" w:hAnsi="微软雅黑" w:eastAsia="微软雅黑" w:cs="Arial"/>
          <w:color w:val="333333"/>
          <w:lang w:eastAsia="zh-CN"/>
        </w:rPr>
        <w:t>，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国内公务接待0批次0人次，与年初预算数相比增加0万元，原同比增加0%</w:t>
      </w:r>
      <w:r>
        <w:rPr>
          <w:rFonts w:hint="eastAsia" w:ascii="微软雅黑" w:hAnsi="微软雅黑" w:eastAsia="微软雅黑" w:cs="Arial"/>
          <w:color w:val="333333"/>
          <w:lang w:eastAsia="zh-CN"/>
        </w:rPr>
        <w:t>，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因为：本单位2022年无三公经费支出，比上年数增加0万元，同比增加0</w:t>
      </w:r>
      <w:r>
        <w:rPr>
          <w:rFonts w:hint="eastAsia" w:ascii="微软雅黑" w:hAnsi="微软雅黑" w:eastAsia="微软雅黑" w:cs="Arial"/>
          <w:color w:val="333333"/>
        </w:rPr>
        <w:t>%</w:t>
      </w:r>
      <w:r>
        <w:rPr>
          <w:rFonts w:hint="eastAsia" w:ascii="微软雅黑" w:hAnsi="微软雅黑" w:eastAsia="微软雅黑" w:cs="Arial"/>
          <w:color w:val="333333"/>
          <w:lang w:eastAsia="zh-CN"/>
        </w:rPr>
        <w:t>，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原因为：本单位2022年无三公经费支出。</w:t>
      </w:r>
    </w:p>
    <w:p w14:paraId="0613CF96">
      <w:pPr>
        <w:pStyle w:val="5"/>
        <w:numPr>
          <w:ilvl w:val="0"/>
          <w:numId w:val="0"/>
        </w:numPr>
        <w:shd w:val="clear" w:color="auto" w:fill="FFFFFF"/>
        <w:spacing w:before="0" w:beforeAutospacing="0" w:after="0" w:afterAutospacing="0" w:line="450" w:lineRule="atLeast"/>
        <w:ind w:firstLine="480" w:firstLineChars="200"/>
        <w:rPr>
          <w:rFonts w:hint="eastAsia" w:ascii="微软雅黑" w:hAnsi="微软雅黑" w:eastAsia="微软雅黑" w:cs="Arial"/>
          <w:b/>
          <w:bCs/>
          <w:color w:val="333333"/>
          <w:lang w:val="en-US" w:eastAsia="zh-CN"/>
        </w:rPr>
      </w:pPr>
      <w:r>
        <w:rPr>
          <w:rFonts w:hint="eastAsia" w:ascii="微软雅黑" w:hAnsi="微软雅黑" w:eastAsia="微软雅黑" w:cs="Arial"/>
          <w:b/>
          <w:bCs/>
          <w:color w:val="333333"/>
          <w:lang w:val="en-US" w:eastAsia="zh-CN"/>
        </w:rPr>
        <w:t>十、关于机关运行经费支出说明</w:t>
      </w:r>
    </w:p>
    <w:p w14:paraId="72CFB0F3">
      <w:pPr>
        <w:pStyle w:val="5"/>
        <w:numPr>
          <w:ilvl w:val="0"/>
          <w:numId w:val="0"/>
        </w:numPr>
        <w:shd w:val="clear" w:color="auto" w:fill="FFFFFF"/>
        <w:spacing w:before="0" w:beforeAutospacing="0" w:after="0" w:afterAutospacing="0" w:line="450" w:lineRule="atLeast"/>
        <w:ind w:firstLine="480" w:firstLineChars="200"/>
        <w:rPr>
          <w:rFonts w:hint="default" w:ascii="微软雅黑" w:hAnsi="微软雅黑" w:eastAsia="微软雅黑" w:cs="微软雅黑"/>
          <w:color w:val="FF0000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Cs w:val="32"/>
          <w:lang w:eastAsia="zh-CN"/>
        </w:rPr>
        <w:t>广水市白泉卫生院</w:t>
      </w:r>
      <w:r>
        <w:rPr>
          <w:rFonts w:hint="eastAsia" w:ascii="微软雅黑" w:hAnsi="微软雅黑" w:eastAsia="微软雅黑" w:cs="微软雅黑"/>
          <w:szCs w:val="32"/>
        </w:rPr>
        <w:t>202</w:t>
      </w:r>
      <w:r>
        <w:rPr>
          <w:rFonts w:hint="eastAsia" w:ascii="微软雅黑" w:hAnsi="微软雅黑" w:eastAsia="微软雅黑" w:cs="微软雅黑"/>
          <w:szCs w:val="32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Cs w:val="32"/>
        </w:rPr>
        <w:t>年度机关运行经费支出</w:t>
      </w:r>
      <w:r>
        <w:rPr>
          <w:rFonts w:hint="eastAsia" w:ascii="微软雅黑" w:hAnsi="微软雅黑" w:eastAsia="微软雅黑" w:cs="微软雅黑"/>
          <w:szCs w:val="32"/>
          <w:lang w:val="en-US" w:eastAsia="zh-CN"/>
        </w:rPr>
        <w:t>179.26</w:t>
      </w:r>
      <w:r>
        <w:rPr>
          <w:rFonts w:hint="eastAsia" w:ascii="微软雅黑" w:hAnsi="微软雅黑" w:eastAsia="微软雅黑" w:cs="微软雅黑"/>
          <w:szCs w:val="32"/>
        </w:rPr>
        <w:t>万元</w:t>
      </w:r>
      <w:r>
        <w:rPr>
          <w:rFonts w:hint="eastAsia" w:ascii="微软雅黑" w:hAnsi="微软雅黑" w:eastAsia="微软雅黑" w:cs="微软雅黑"/>
          <w:szCs w:val="32"/>
          <w:lang w:eastAsia="zh-CN"/>
        </w:rPr>
        <w:t>，</w:t>
      </w:r>
      <w:r>
        <w:rPr>
          <w:rFonts w:hint="eastAsia" w:ascii="微软雅黑" w:hAnsi="微软雅黑" w:eastAsia="微软雅黑" w:cs="微软雅黑"/>
          <w:szCs w:val="32"/>
        </w:rPr>
        <w:t>比年初预算数减少</w:t>
      </w:r>
      <w:r>
        <w:rPr>
          <w:rFonts w:hint="eastAsia" w:ascii="微软雅黑" w:hAnsi="微软雅黑" w:eastAsia="微软雅黑" w:cs="微软雅黑"/>
          <w:szCs w:val="32"/>
          <w:lang w:val="en-US" w:eastAsia="zh-CN"/>
        </w:rPr>
        <w:t>230.74</w:t>
      </w:r>
      <w:r>
        <w:rPr>
          <w:rFonts w:hint="eastAsia" w:ascii="微软雅黑" w:hAnsi="微软雅黑" w:eastAsia="微软雅黑" w:cs="微软雅黑"/>
          <w:szCs w:val="32"/>
        </w:rPr>
        <w:t xml:space="preserve"> 万元，降低</w:t>
      </w:r>
      <w:r>
        <w:rPr>
          <w:rFonts w:hint="eastAsia" w:ascii="微软雅黑" w:hAnsi="微软雅黑" w:eastAsia="微软雅黑" w:cs="微软雅黑"/>
          <w:szCs w:val="32"/>
          <w:lang w:val="en-US" w:eastAsia="zh-CN"/>
        </w:rPr>
        <w:t>128</w:t>
      </w:r>
      <w:r>
        <w:rPr>
          <w:rFonts w:hint="eastAsia" w:ascii="微软雅黑" w:hAnsi="微软雅黑" w:eastAsia="微软雅黑" w:cs="微软雅黑"/>
          <w:szCs w:val="32"/>
        </w:rPr>
        <w:t>%。</w:t>
      </w:r>
      <w:r>
        <w:rPr>
          <w:rFonts w:hint="eastAsia" w:ascii="微软雅黑" w:hAnsi="微软雅黑" w:eastAsia="微软雅黑" w:cs="微软雅黑"/>
          <w:szCs w:val="32"/>
          <w:lang w:val="en-US" w:eastAsia="zh-CN"/>
        </w:rPr>
        <w:t>与上年数增加78.16万元，增长43.6%。</w:t>
      </w:r>
      <w:r>
        <w:rPr>
          <w:rFonts w:hint="eastAsia" w:ascii="微软雅黑" w:hAnsi="微软雅黑" w:eastAsia="微软雅黑" w:cs="微软雅黑"/>
          <w:szCs w:val="32"/>
        </w:rPr>
        <w:t>主要原因是：</w:t>
      </w:r>
      <w:r>
        <w:rPr>
          <w:rFonts w:hint="eastAsia" w:ascii="微软雅黑" w:hAnsi="微软雅黑" w:eastAsia="微软雅黑" w:cs="微软雅黑"/>
          <w:szCs w:val="32"/>
          <w:lang w:eastAsia="zh-CN"/>
        </w:rPr>
        <w:t>专用材料费用增加</w:t>
      </w:r>
      <w:r>
        <w:rPr>
          <w:rFonts w:hint="eastAsia" w:ascii="微软雅黑" w:hAnsi="微软雅黑" w:eastAsia="微软雅黑" w:cs="微软雅黑"/>
          <w:szCs w:val="32"/>
          <w:lang w:val="en-US" w:eastAsia="zh-CN"/>
        </w:rPr>
        <w:t>53.31万元。</w:t>
      </w:r>
    </w:p>
    <w:p w14:paraId="4A7DCE78">
      <w:pPr>
        <w:pStyle w:val="5"/>
        <w:numPr>
          <w:ilvl w:val="0"/>
          <w:numId w:val="0"/>
        </w:numPr>
        <w:shd w:val="clear" w:color="auto" w:fill="FFFFFF"/>
        <w:spacing w:before="0" w:beforeAutospacing="0" w:after="0" w:afterAutospacing="0" w:line="450" w:lineRule="atLeast"/>
        <w:ind w:leftChars="200"/>
        <w:rPr>
          <w:rFonts w:hint="eastAsia" w:ascii="微软雅黑" w:hAnsi="微软雅黑" w:eastAsia="微软雅黑" w:cs="微软雅黑"/>
          <w:b/>
          <w:bCs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十一、关于政府支出采购说明</w:t>
      </w:r>
    </w:p>
    <w:p w14:paraId="6EFDE9C3">
      <w:pPr>
        <w:pStyle w:val="23"/>
        <w:ind w:left="0" w:leftChars="0"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广水市白泉卫生院</w:t>
      </w:r>
      <w:r>
        <w:rPr>
          <w:rFonts w:hint="eastAsia" w:ascii="微软雅黑" w:hAnsi="微软雅黑" w:eastAsia="微软雅黑" w:cs="微软雅黑"/>
          <w:sz w:val="24"/>
          <w:szCs w:val="24"/>
        </w:rPr>
        <w:t xml:space="preserve"> 202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24"/>
          <w:szCs w:val="24"/>
        </w:rPr>
        <w:t>年度政府采购支出总额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0</w:t>
      </w:r>
      <w:r>
        <w:rPr>
          <w:rFonts w:hint="eastAsia" w:ascii="微软雅黑" w:hAnsi="微软雅黑" w:eastAsia="微软雅黑" w:cs="微软雅黑"/>
          <w:sz w:val="24"/>
          <w:szCs w:val="24"/>
        </w:rPr>
        <w:t>万元，其中：政府采购货物支出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0</w:t>
      </w:r>
      <w:r>
        <w:rPr>
          <w:rFonts w:hint="eastAsia" w:ascii="微软雅黑" w:hAnsi="微软雅黑" w:eastAsia="微软雅黑" w:cs="微软雅黑"/>
          <w:sz w:val="24"/>
          <w:szCs w:val="24"/>
        </w:rPr>
        <w:t xml:space="preserve">万元、政府采购工程支出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0</w:t>
      </w:r>
      <w:r>
        <w:rPr>
          <w:rFonts w:hint="eastAsia" w:ascii="微软雅黑" w:hAnsi="微软雅黑" w:eastAsia="微软雅黑" w:cs="微软雅黑"/>
          <w:sz w:val="24"/>
          <w:szCs w:val="24"/>
        </w:rPr>
        <w:t xml:space="preserve">万元、政府采购服务支出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0</w:t>
      </w:r>
      <w:r>
        <w:rPr>
          <w:rFonts w:hint="eastAsia" w:ascii="微软雅黑" w:hAnsi="微软雅黑" w:eastAsia="微软雅黑" w:cs="微软雅黑"/>
          <w:sz w:val="24"/>
          <w:szCs w:val="24"/>
        </w:rPr>
        <w:t xml:space="preserve">万元。授予中小企业合同金额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0</w:t>
      </w:r>
      <w:r>
        <w:rPr>
          <w:rFonts w:hint="eastAsia" w:ascii="微软雅黑" w:hAnsi="微软雅黑" w:eastAsia="微软雅黑" w:cs="微软雅黑"/>
          <w:sz w:val="24"/>
          <w:szCs w:val="24"/>
        </w:rPr>
        <w:t>万元，占政府采购支出总额的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0</w:t>
      </w:r>
      <w:r>
        <w:rPr>
          <w:rFonts w:hint="eastAsia" w:ascii="微软雅黑" w:hAnsi="微软雅黑" w:eastAsia="微软雅黑" w:cs="微软雅黑"/>
          <w:sz w:val="24"/>
          <w:szCs w:val="24"/>
        </w:rPr>
        <w:t>%，其中：授予小微企业合同金额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0</w:t>
      </w:r>
      <w:r>
        <w:rPr>
          <w:rFonts w:hint="eastAsia" w:ascii="微软雅黑" w:hAnsi="微软雅黑" w:eastAsia="微软雅黑" w:cs="微软雅黑"/>
          <w:sz w:val="24"/>
          <w:szCs w:val="24"/>
        </w:rPr>
        <w:t xml:space="preserve">万元，占政府采购支出总额的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0</w:t>
      </w:r>
      <w:r>
        <w:rPr>
          <w:rFonts w:hint="eastAsia" w:ascii="微软雅黑" w:hAnsi="微软雅黑" w:eastAsia="微软雅黑" w:cs="微软雅黑"/>
          <w:sz w:val="24"/>
          <w:szCs w:val="24"/>
        </w:rPr>
        <w:t>%。</w:t>
      </w:r>
    </w:p>
    <w:p w14:paraId="0F178751">
      <w:pPr>
        <w:pStyle w:val="5"/>
        <w:numPr>
          <w:ilvl w:val="0"/>
          <w:numId w:val="0"/>
        </w:numPr>
        <w:shd w:val="clear" w:color="auto" w:fill="FFFFFF"/>
        <w:spacing w:before="0" w:beforeAutospacing="0" w:after="0" w:afterAutospacing="0" w:line="450" w:lineRule="atLeast"/>
        <w:ind w:leftChars="200"/>
        <w:rPr>
          <w:rFonts w:hint="eastAsia" w:ascii="微软雅黑" w:hAnsi="微软雅黑" w:eastAsia="微软雅黑" w:cs="微软雅黑"/>
          <w:b/>
          <w:bCs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十二、关于国有资产占用情况说明</w:t>
      </w:r>
    </w:p>
    <w:p w14:paraId="348A30CF">
      <w:pPr>
        <w:pStyle w:val="5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截至 202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年 12 月 31 日，广水市白泉卫生院共有车辆 3辆，其中，副省级及以上领导干部用车0辆、主要领导干部用车0辆、机要通信用车0辆、应急保障用车 0辆、执法执勤用车 0 辆、特种专业技术用车 0辆、其他用车 3辆，其他用车主要是1台救护车接送病人，1台转运新冠密接者，另1台移动体检车用于公共卫生科下乡体检 ；单位价值0 万元以上通用设备 1台（套）；单位价值 100 万元以上专用设备 0台（套）。</w:t>
      </w:r>
    </w:p>
    <w:p w14:paraId="42E20041">
      <w:pPr>
        <w:pStyle w:val="23"/>
        <w:ind w:left="0" w:leftChars="0"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。</w:t>
      </w:r>
    </w:p>
    <w:p w14:paraId="1EF08F5F">
      <w:pPr>
        <w:pStyle w:val="23"/>
        <w:numPr>
          <w:ilvl w:val="0"/>
          <w:numId w:val="0"/>
        </w:numPr>
        <w:ind w:firstLine="480" w:firstLineChars="200"/>
        <w:rPr>
          <w:rFonts w:hint="eastAsia" w:ascii="微软雅黑" w:hAnsi="微软雅黑" w:eastAsia="微软雅黑" w:cs="微软雅黑"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 w:val="0"/>
          <w:sz w:val="24"/>
          <w:szCs w:val="24"/>
          <w:lang w:val="en-US" w:eastAsia="zh-CN"/>
        </w:rPr>
        <w:t>十三、</w:t>
      </w:r>
      <w:r>
        <w:rPr>
          <w:rFonts w:hint="eastAsia" w:ascii="微软雅黑" w:hAnsi="微软雅黑" w:eastAsia="微软雅黑" w:cs="微软雅黑"/>
          <w:b/>
          <w:bCs w:val="0"/>
          <w:sz w:val="24"/>
          <w:szCs w:val="24"/>
        </w:rPr>
        <w:t>预算绩效情况说明</w:t>
      </w:r>
    </w:p>
    <w:p w14:paraId="5A6AD73A">
      <w:pPr>
        <w:spacing w:line="560" w:lineRule="exact"/>
        <w:ind w:firstLine="480" w:firstLineChars="200"/>
        <w:rPr>
          <w:rFonts w:hint="eastAsia" w:ascii="微软雅黑" w:hAnsi="微软雅黑" w:eastAsia="微软雅黑" w:cs="微软雅黑"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Cs/>
          <w:sz w:val="24"/>
          <w:szCs w:val="24"/>
        </w:rPr>
        <w:t>（1）预算绩效管理工作开展情况</w:t>
      </w:r>
    </w:p>
    <w:p w14:paraId="3CE23619">
      <w:pPr>
        <w:pStyle w:val="5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根据预算绩效管理要求，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广水市白泉卫生院</w:t>
      </w:r>
      <w:r>
        <w:rPr>
          <w:rFonts w:hint="eastAsia" w:ascii="微软雅黑" w:hAnsi="微软雅黑" w:eastAsia="微软雅黑" w:cs="微软雅黑"/>
          <w:sz w:val="24"/>
          <w:szCs w:val="24"/>
        </w:rPr>
        <w:t>组织对202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24"/>
          <w:szCs w:val="24"/>
        </w:rPr>
        <w:t>年度一般公共预算项目支出全面开展绩效自评，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共涉及资金2337.20万元，其中用于基本医疗救治资金1897.45万元，占总支出81.18%；基本公卫项目1个，支出资金439.75万元，占一般公共预算项目支出总额的18.82％。</w:t>
      </w:r>
    </w:p>
    <w:p w14:paraId="0A15CD8D">
      <w:pPr>
        <w:pStyle w:val="5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从评价情况来看，基本公共卫生项目资金439.75万元，主要为了当地人民群众身体健康，对基本公共卫生服务工作，提供人力、物力支持，对基本公共卫生服务的健康档案管理，健康教育，预防接种，0-6岁儿童管理，孕产妇管理，65岁以上老年人管理，高血压管理，糖尿病管理，重精神病管理传染病报告和处理，传染病报告和处理等工作，认真布置，确保基本公共卫生服务工作落到实处，让人民群众的身体健康逐步提高，享受到党和政府的关怀，并且满意度较高。组织开展部门整体支出绩效评价：</w:t>
      </w:r>
    </w:p>
    <w:p w14:paraId="333D67FB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spacing w:line="315" w:lineRule="atLeast"/>
        <w:ind w:lef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通过部门绩效自评，进一步严格落实《预算法》以及党中央、国务院关于加强预算绩效管理的指示精神，建立健全行之有效的绩效预算管理机制，提升政府效能。    </w:t>
      </w:r>
    </w:p>
    <w:p w14:paraId="47AA1CBB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spacing w:line="315" w:lineRule="atLeast"/>
        <w:ind w:left="0" w:leftChars="0" w:firstLine="420" w:firstLineChars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通过部门绩效自评，财政对社区及乡镇卫生院投入太少，事业收入受医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保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资金限止，医院运转较困难。</w:t>
      </w:r>
    </w:p>
    <w:p w14:paraId="5AC677F5">
      <w:pPr>
        <w:pStyle w:val="5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instrText xml:space="preserve"> HYPERLINK "https://kdocs.cn/l/cqPsz99NdgXO"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fldChar w:fldCharType="separate"/>
      </w:r>
      <w:r>
        <w:rPr>
          <w:rStyle w:val="12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[金山文档] 2022年度部门名称整体绩效评价报告.pdf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fldChar w:fldCharType="end"/>
      </w:r>
    </w:p>
    <w:p w14:paraId="1D3C4BA3">
      <w:pPr>
        <w:spacing w:line="560" w:lineRule="exact"/>
        <w:ind w:firstLine="480" w:firstLineChars="200"/>
        <w:rPr>
          <w:rFonts w:hint="eastAsia" w:ascii="微软雅黑" w:hAnsi="微软雅黑" w:eastAsia="微软雅黑" w:cs="微软雅黑"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Cs/>
          <w:sz w:val="24"/>
          <w:szCs w:val="24"/>
        </w:rPr>
        <w:t xml:space="preserve">（2）部门决算中项目绩效自评结果 </w:t>
      </w:r>
    </w:p>
    <w:p w14:paraId="641497C4">
      <w:pPr>
        <w:spacing w:line="560" w:lineRule="exact"/>
        <w:ind w:firstLine="64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基本公卫</w:t>
      </w:r>
      <w:r>
        <w:rPr>
          <w:rFonts w:hint="eastAsia" w:ascii="微软雅黑" w:hAnsi="微软雅黑" w:eastAsia="微软雅黑" w:cs="微软雅黑"/>
          <w:sz w:val="24"/>
          <w:szCs w:val="24"/>
        </w:rPr>
        <w:t>项目绩效自评综述：项目全年预算数为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320</w:t>
      </w:r>
      <w:r>
        <w:rPr>
          <w:rFonts w:hint="eastAsia" w:ascii="微软雅黑" w:hAnsi="微软雅黑" w:eastAsia="微软雅黑" w:cs="微软雅黑"/>
          <w:sz w:val="24"/>
          <w:szCs w:val="24"/>
        </w:rPr>
        <w:t>万元，执行数为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320</w:t>
      </w:r>
      <w:r>
        <w:rPr>
          <w:rFonts w:hint="eastAsia" w:ascii="微软雅黑" w:hAnsi="微软雅黑" w:eastAsia="微软雅黑" w:cs="微软雅黑"/>
          <w:sz w:val="24"/>
          <w:szCs w:val="24"/>
        </w:rPr>
        <w:t>万元，完成预算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100</w:t>
      </w:r>
      <w:r>
        <w:rPr>
          <w:rFonts w:hint="eastAsia" w:ascii="微软雅黑" w:hAnsi="微软雅黑" w:eastAsia="微软雅黑" w:cs="微软雅黑"/>
          <w:sz w:val="24"/>
          <w:szCs w:val="24"/>
        </w:rPr>
        <w:t>％。主要产出和效益：一是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落实国家基本公共卫生政策</w:t>
      </w:r>
      <w:r>
        <w:rPr>
          <w:rFonts w:hint="eastAsia" w:ascii="微软雅黑" w:hAnsi="微软雅黑" w:eastAsia="微软雅黑" w:cs="微软雅黑"/>
          <w:sz w:val="24"/>
          <w:szCs w:val="24"/>
        </w:rPr>
        <w:t>；二是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完成基本公共卫生服务人群</w:t>
      </w:r>
      <w:r>
        <w:rPr>
          <w:rFonts w:hint="eastAsia" w:ascii="微软雅黑" w:hAnsi="微软雅黑" w:eastAsia="微软雅黑" w:cs="微软雅黑"/>
          <w:sz w:val="24"/>
          <w:szCs w:val="24"/>
        </w:rPr>
        <w:t>。</w:t>
      </w:r>
    </w:p>
    <w:p w14:paraId="30608314">
      <w:pPr>
        <w:spacing w:line="560" w:lineRule="exact"/>
        <w:ind w:firstLine="64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fldChar w:fldCharType="begin"/>
      </w:r>
      <w:r>
        <w:rPr>
          <w:rFonts w:hint="eastAsia" w:ascii="微软雅黑" w:hAnsi="微软雅黑" w:eastAsia="微软雅黑" w:cs="微软雅黑"/>
          <w:sz w:val="24"/>
          <w:szCs w:val="24"/>
        </w:rPr>
        <w:instrText xml:space="preserve"> HYPERLINK "https://kdocs.cn/l/ckfREBuYVJ3m" </w:instrText>
      </w:r>
      <w:r>
        <w:rPr>
          <w:rFonts w:hint="eastAsia" w:ascii="微软雅黑" w:hAnsi="微软雅黑" w:eastAsia="微软雅黑" w:cs="微软雅黑"/>
          <w:sz w:val="24"/>
          <w:szCs w:val="24"/>
        </w:rPr>
        <w:fldChar w:fldCharType="separate"/>
      </w:r>
      <w:r>
        <w:rPr>
          <w:rStyle w:val="12"/>
          <w:rFonts w:hint="eastAsia" w:ascii="微软雅黑" w:hAnsi="微软雅黑" w:eastAsia="微软雅黑" w:cs="微软雅黑"/>
          <w:sz w:val="24"/>
          <w:szCs w:val="24"/>
        </w:rPr>
        <w:t>[金山文档] 2022基本公卫自评表(1).pdf</w:t>
      </w:r>
      <w:r>
        <w:rPr>
          <w:rFonts w:hint="eastAsia" w:ascii="微软雅黑" w:hAnsi="微软雅黑" w:eastAsia="微软雅黑" w:cs="微软雅黑"/>
          <w:sz w:val="24"/>
          <w:szCs w:val="24"/>
        </w:rPr>
        <w:fldChar w:fldCharType="end"/>
      </w:r>
    </w:p>
    <w:p w14:paraId="78FE4358">
      <w:pPr>
        <w:spacing w:line="560" w:lineRule="exact"/>
        <w:ind w:firstLine="480" w:firstLineChars="200"/>
        <w:rPr>
          <w:rFonts w:hint="eastAsia" w:ascii="微软雅黑" w:hAnsi="微软雅黑" w:eastAsia="微软雅黑" w:cs="微软雅黑"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Cs/>
          <w:sz w:val="24"/>
          <w:szCs w:val="24"/>
        </w:rPr>
        <w:t>（3）绩效评价结果应用情况</w:t>
      </w:r>
    </w:p>
    <w:p w14:paraId="79976759">
      <w:pPr>
        <w:spacing w:line="560" w:lineRule="exact"/>
        <w:ind w:firstLine="640"/>
        <w:rPr>
          <w:rFonts w:hint="eastAsia" w:ascii="微软雅黑" w:hAnsi="微软雅黑" w:eastAsia="微软雅黑" w:cs="微软雅黑"/>
          <w:color w:val="FF000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部门绩效评价结果应用情况。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我院应</w:t>
      </w:r>
      <w:r>
        <w:rPr>
          <w:rFonts w:hint="eastAsia" w:ascii="微软雅黑" w:hAnsi="微软雅黑" w:eastAsia="微软雅黑" w:cs="微软雅黑"/>
          <w:sz w:val="24"/>
          <w:szCs w:val="24"/>
        </w:rPr>
        <w:t>加强项目规划、绩效目标管理、完善项目分配办法和管理办法、加强项目管理、结果与预算安排相结合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。</w:t>
      </w:r>
    </w:p>
    <w:p w14:paraId="3A3B5D84">
      <w:pPr>
        <w:pStyle w:val="5"/>
        <w:shd w:val="clear" w:color="auto" w:fill="FFFFFF"/>
        <w:spacing w:before="0" w:beforeAutospacing="0" w:after="0" w:afterAutospacing="0" w:line="450" w:lineRule="atLeas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部门绩效评价结果拟应用情况。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我院已</w:t>
      </w:r>
      <w:r>
        <w:rPr>
          <w:rFonts w:hint="eastAsia" w:ascii="微软雅黑" w:hAnsi="微软雅黑" w:eastAsia="微软雅黑" w:cs="微软雅黑"/>
          <w:sz w:val="24"/>
          <w:szCs w:val="24"/>
        </w:rPr>
        <w:t>完善项目分配办法和管理办法、加强项目管理、结果与预算安排相结合。</w:t>
      </w:r>
    </w:p>
    <w:p w14:paraId="233D379B">
      <w:pPr>
        <w:pStyle w:val="5"/>
        <w:shd w:val="clear" w:color="auto" w:fill="FFFFFF"/>
        <w:spacing w:before="0" w:beforeAutospacing="0" w:after="0" w:afterAutospacing="0" w:line="450" w:lineRule="atLeas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</w:p>
    <w:p w14:paraId="4756F5C1">
      <w:pPr>
        <w:pStyle w:val="5"/>
        <w:numPr>
          <w:ilvl w:val="0"/>
          <w:numId w:val="0"/>
        </w:numPr>
        <w:shd w:val="clear" w:color="auto" w:fill="FFFFFF"/>
        <w:spacing w:before="0" w:beforeAutospacing="0" w:after="0" w:afterAutospacing="0" w:line="450" w:lineRule="atLeast"/>
        <w:ind w:left="420" w:leftChars="0"/>
        <w:jc w:val="center"/>
        <w:rPr>
          <w:rFonts w:hint="eastAsia" w:ascii="微软雅黑" w:hAnsi="微软雅黑" w:eastAsia="微软雅黑" w:cs="Arial"/>
          <w:b w:val="0"/>
          <w:bCs/>
          <w:color w:val="333333"/>
          <w:sz w:val="24"/>
          <w:szCs w:val="24"/>
          <w:lang w:val="en-US" w:eastAsia="zh-CN"/>
        </w:rPr>
      </w:pPr>
      <w:r>
        <w:rPr>
          <w:rFonts w:ascii="微软雅黑" w:hAnsi="微软雅黑" w:eastAsia="微软雅黑" w:cs="Arial"/>
          <w:b/>
          <w:color w:val="333333"/>
          <w:sz w:val="28"/>
        </w:rPr>
        <w:t>第四部分</w:t>
      </w:r>
      <w:r>
        <w:rPr>
          <w:rFonts w:hint="eastAsia" w:ascii="微软雅黑" w:hAnsi="微软雅黑" w:eastAsia="微软雅黑" w:cs="Arial"/>
          <w:b/>
          <w:color w:val="333333"/>
          <w:sz w:val="28"/>
          <w:lang w:eastAsia="zh-CN"/>
        </w:rPr>
        <w:t>：</w:t>
      </w:r>
      <w:r>
        <w:rPr>
          <w:rFonts w:hint="eastAsia" w:ascii="微软雅黑" w:hAnsi="微软雅黑" w:eastAsia="微软雅黑" w:cs="Arial"/>
          <w:b/>
          <w:color w:val="333333"/>
          <w:sz w:val="28"/>
          <w:lang w:val="en-US" w:eastAsia="zh-CN"/>
        </w:rPr>
        <w:t>其他需要说明的情况</w:t>
      </w:r>
    </w:p>
    <w:p w14:paraId="51C5DC76">
      <w:pPr>
        <w:pStyle w:val="5"/>
        <w:numPr>
          <w:ilvl w:val="0"/>
          <w:numId w:val="0"/>
        </w:numPr>
        <w:shd w:val="clear" w:color="auto" w:fill="FFFFFF"/>
        <w:spacing w:before="0" w:beforeAutospacing="0" w:after="0" w:afterAutospacing="0" w:line="450" w:lineRule="atLeast"/>
        <w:ind w:firstLine="480"/>
        <w:rPr>
          <w:rFonts w:hint="eastAsia" w:ascii="微软雅黑" w:hAnsi="微软雅黑" w:eastAsia="微软雅黑" w:cs="Arial"/>
          <w:b w:val="0"/>
          <w:bCs/>
          <w:color w:val="333333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Arial"/>
          <w:b w:val="0"/>
          <w:bCs/>
          <w:color w:val="333333"/>
          <w:sz w:val="24"/>
          <w:szCs w:val="24"/>
          <w:lang w:val="en-US" w:eastAsia="zh-CN"/>
        </w:rPr>
        <w:t>无其他需要说明的情况。</w:t>
      </w:r>
    </w:p>
    <w:p w14:paraId="6C479CF3">
      <w:pPr>
        <w:pStyle w:val="5"/>
        <w:numPr>
          <w:ilvl w:val="0"/>
          <w:numId w:val="0"/>
        </w:numPr>
        <w:shd w:val="clear" w:color="auto" w:fill="FFFFFF"/>
        <w:spacing w:before="0" w:beforeAutospacing="0" w:after="0" w:afterAutospacing="0" w:line="450" w:lineRule="atLeast"/>
        <w:ind w:firstLine="480"/>
        <w:rPr>
          <w:rFonts w:hint="default" w:ascii="微软雅黑" w:hAnsi="微软雅黑" w:eastAsia="微软雅黑" w:cs="Arial"/>
          <w:b w:val="0"/>
          <w:bCs/>
          <w:color w:val="333333"/>
          <w:sz w:val="24"/>
          <w:szCs w:val="24"/>
          <w:lang w:val="en-US" w:eastAsia="zh-CN"/>
        </w:rPr>
      </w:pPr>
    </w:p>
    <w:p w14:paraId="446D14D7">
      <w:pPr>
        <w:pStyle w:val="5"/>
        <w:shd w:val="clear" w:color="auto" w:fill="FFFFFF"/>
        <w:spacing w:before="0" w:beforeAutospacing="0" w:after="0" w:afterAutospacing="0" w:line="450" w:lineRule="atLeast"/>
        <w:ind w:firstLine="3082" w:firstLineChars="1100"/>
        <w:jc w:val="both"/>
        <w:rPr>
          <w:rFonts w:ascii="微软雅黑" w:hAnsi="微软雅黑" w:eastAsia="微软雅黑" w:cs="Arial"/>
          <w:b/>
          <w:color w:val="333333"/>
          <w:sz w:val="28"/>
        </w:rPr>
      </w:pPr>
      <w:r>
        <w:rPr>
          <w:rFonts w:ascii="微软雅黑" w:hAnsi="微软雅黑" w:eastAsia="微软雅黑" w:cs="Arial"/>
          <w:b/>
          <w:color w:val="333333"/>
          <w:sz w:val="28"/>
        </w:rPr>
        <w:t>第</w:t>
      </w:r>
      <w:r>
        <w:rPr>
          <w:rFonts w:hint="eastAsia" w:ascii="微软雅黑" w:hAnsi="微软雅黑" w:eastAsia="微软雅黑" w:cs="Arial"/>
          <w:b/>
          <w:color w:val="333333"/>
          <w:sz w:val="28"/>
          <w:lang w:eastAsia="zh-CN"/>
        </w:rPr>
        <w:t>五</w:t>
      </w:r>
      <w:r>
        <w:rPr>
          <w:rFonts w:ascii="微软雅黑" w:hAnsi="微软雅黑" w:eastAsia="微软雅黑" w:cs="Arial"/>
          <w:b/>
          <w:color w:val="333333"/>
          <w:sz w:val="28"/>
        </w:rPr>
        <w:t>部分：名词解释</w:t>
      </w:r>
    </w:p>
    <w:p w14:paraId="2925D274">
      <w:pPr>
        <w:pStyle w:val="5"/>
        <w:shd w:val="clear" w:color="auto" w:fill="FFFFFF"/>
        <w:spacing w:before="0" w:beforeAutospacing="0" w:after="0" w:afterAutospacing="0" w:line="450" w:lineRule="atLeast"/>
        <w:jc w:val="both"/>
        <w:rPr>
          <w:rFonts w:hint="eastAsia" w:ascii="微软雅黑" w:hAnsi="微软雅黑" w:eastAsia="微软雅黑" w:cs="Arial"/>
          <w:b/>
          <w:color w:val="FF0000"/>
          <w:sz w:val="28"/>
          <w:lang w:eastAsia="zh-CN"/>
        </w:rPr>
      </w:pPr>
    </w:p>
    <w:p w14:paraId="4613C521"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一般公共预算：是对以税收为主体的财政收入，安排用于保障和改善民生、推动经济社会发展、维护国家安全、维持国家机构正常运转等方面的收支预算。</w:t>
      </w:r>
    </w:p>
    <w:p w14:paraId="019FF19D"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　　政府性基金预算：是国家通过向社会征收以及出让土地、发行彩票等方式取得收入，并专项用于支持特定基础设施建设和社会事业发展的财政收支预算，是政府预算体系的重要组成部分。</w:t>
      </w:r>
    </w:p>
    <w:p w14:paraId="4FC03158"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　　基本支出：是行政事业单位为保障机构正常运转、完成日常工作任务而编制的年度基本支出计划，包括人员经费和日常公用经费两部分。</w:t>
      </w:r>
    </w:p>
    <w:p w14:paraId="03197C73"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项目支出：是行政事业单位为完成特定的工作任务或事业发展目标，在基本支出以外财政预算专项安排的支出。</w:t>
      </w:r>
    </w:p>
    <w:p w14:paraId="6DCB528E"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4"/>
          <w:szCs w:val="24"/>
          <w:shd w:val="clear" w:fill="FFFFFF"/>
        </w:rPr>
        <w:t>三公经费支出：是指行政事业单位为保障机构正常运转、完成日常工作任务而编制的年度经费支出，包括公务接待和车辆运转费用。</w:t>
      </w:r>
    </w:p>
    <w:p w14:paraId="59F33020">
      <w:pPr>
        <w:pStyle w:val="5"/>
        <w:shd w:val="clear" w:color="auto" w:fill="FFFFFF"/>
        <w:spacing w:before="0" w:beforeAutospacing="0" w:after="0" w:afterAutospacing="0" w:line="450" w:lineRule="atLeast"/>
        <w:ind w:firstLine="480" w:firstLineChars="200"/>
        <w:rPr>
          <w:rFonts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>机关运行经费：是指为保障行政单位（含参照公务员法管理事业单位）运行用于购买货物和服务的各项资金，包括办公及印刷费、邮电费、差旅费、会议费、福利费、日常维修费、专用材料及一般设备购置费、办公用房水电费、办公用房取暖费、办公用房物业管理费、公务用车运行维护费以及其他费用。</w:t>
      </w:r>
    </w:p>
    <w:p w14:paraId="4E67A4FA"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绩效评价：是指财政部门和预算部门（单位）根据设定的绩效目标，运用科学合理的绩效评价指标、评价标准和评价方法，对财政支出的经济性、效率性和效益性进行客观、公正的评价。</w:t>
      </w:r>
    </w:p>
    <w:p w14:paraId="3EA1D5FA"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Arial"/>
          <w:color w:val="333333"/>
        </w:rPr>
      </w:pPr>
    </w:p>
    <w:p w14:paraId="34F46FF5"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jc w:val="center"/>
        <w:rPr>
          <w:rFonts w:hint="eastAsia" w:ascii="微软雅黑" w:hAnsi="微软雅黑" w:eastAsia="微软雅黑" w:cs="Arial"/>
          <w:b/>
          <w:color w:val="333333"/>
          <w:sz w:val="28"/>
          <w:lang w:eastAsia="zh-CN"/>
        </w:rPr>
      </w:pPr>
      <w:r>
        <w:rPr>
          <w:rFonts w:ascii="微软雅黑" w:hAnsi="微软雅黑" w:eastAsia="微软雅黑" w:cs="Arial"/>
          <w:b/>
          <w:color w:val="333333"/>
          <w:sz w:val="28"/>
        </w:rPr>
        <w:t>第</w:t>
      </w:r>
      <w:r>
        <w:rPr>
          <w:rFonts w:hint="eastAsia" w:ascii="微软雅黑" w:hAnsi="微软雅黑" w:eastAsia="微软雅黑" w:cs="Arial"/>
          <w:b/>
          <w:color w:val="333333"/>
          <w:sz w:val="28"/>
          <w:lang w:eastAsia="zh-CN"/>
        </w:rPr>
        <w:t>六</w:t>
      </w:r>
      <w:r>
        <w:rPr>
          <w:rFonts w:ascii="微软雅黑" w:hAnsi="微软雅黑" w:eastAsia="微软雅黑" w:cs="Arial"/>
          <w:b/>
          <w:color w:val="333333"/>
          <w:sz w:val="28"/>
        </w:rPr>
        <w:t>部分</w:t>
      </w:r>
      <w:r>
        <w:rPr>
          <w:rFonts w:hint="eastAsia" w:ascii="微软雅黑" w:hAnsi="微软雅黑" w:eastAsia="微软雅黑" w:cs="Arial"/>
          <w:b/>
          <w:color w:val="333333"/>
          <w:sz w:val="28"/>
          <w:lang w:eastAsia="zh-CN"/>
        </w:rPr>
        <w:t>：附件</w:t>
      </w:r>
    </w:p>
    <w:p w14:paraId="607D97B1">
      <w:pPr>
        <w:bidi w:val="0"/>
        <w:ind w:firstLine="465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一、2022年度部门名称整体绩效评价报告</w:t>
      </w:r>
    </w:p>
    <w:p w14:paraId="55BC9457">
      <w:pPr>
        <w:bidi w:val="0"/>
        <w:ind w:firstLine="465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instrText xml:space="preserve"> HYPERLINK "https://kdocs.cn/l/crkcJ9LCUgxP" </w:instrTex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separate"/>
      </w:r>
      <w:r>
        <w:rPr>
          <w:rStyle w:val="12"/>
          <w:rFonts w:hint="eastAsia" w:ascii="微软雅黑" w:hAnsi="微软雅黑" w:eastAsia="微软雅黑" w:cs="微软雅黑"/>
          <w:sz w:val="24"/>
          <w:szCs w:val="24"/>
          <w:lang w:val="en-US" w:eastAsia="zh-CN"/>
        </w:rPr>
        <w:t>[金山文档] 2022年度部门名称整体绩效评价报告(1).pdf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end"/>
      </w:r>
    </w:p>
    <w:p w14:paraId="7DE0E3C6">
      <w:pPr>
        <w:bidi w:val="0"/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二、2022年度XX项目绩效评价报告</w:t>
      </w:r>
    </w:p>
    <w:p w14:paraId="22D53679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1.2022 年完成主体工程建设，建成一栋七层业务楼、一栋公共卫生部及综合楼 。</w:t>
      </w:r>
    </w:p>
    <w:p w14:paraId="509647EB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2.2023 年完成室内装饰装修，供配电及照明、给排水等工程，陆续完成设备安装， 火灾报警系统，消防，室外墙面装修、路面铺地，院内绿化。</w:t>
      </w:r>
    </w:p>
    <w:p w14:paraId="766D5BC6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微软雅黑" w:hAnsi="微软雅黑" w:eastAsia="微软雅黑" w:cs="微软雅黑"/>
          <w:sz w:val="24"/>
          <w:szCs w:val="24"/>
        </w:rPr>
      </w:pPr>
    </w:p>
    <w:p w14:paraId="415B01FA">
      <w:pPr>
        <w:bidi w:val="0"/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5FD4491A">
      <w:pPr>
        <w:bidi w:val="0"/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47C666B1"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jc w:val="center"/>
        <w:rPr>
          <w:rFonts w:hint="default" w:ascii="微软雅黑" w:hAnsi="微软雅黑" w:eastAsia="微软雅黑" w:cs="Arial"/>
          <w:b/>
          <w:color w:val="333333"/>
          <w:sz w:val="28"/>
          <w:lang w:val="en-US" w:eastAsia="zh-CN"/>
        </w:rPr>
      </w:pPr>
    </w:p>
    <w:p w14:paraId="5D7A1B6C"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hint="eastAsia" w:ascii="微软雅黑" w:hAnsi="微软雅黑" w:eastAsia="微软雅黑" w:cs="Arial"/>
          <w:color w:val="333333"/>
          <w:lang w:eastAsia="zh-CN"/>
        </w:rPr>
      </w:pPr>
    </w:p>
    <w:p w14:paraId="22D68134"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 </w:t>
      </w:r>
      <w:r>
        <w:rPr>
          <w:rFonts w:hint="eastAsia" w:ascii="微软雅黑" w:hAnsi="微软雅黑" w:eastAsia="微软雅黑" w:cs="Arial"/>
          <w:color w:val="333333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mmon-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019721"/>
    <w:multiLevelType w:val="singleLevel"/>
    <w:tmpl w:val="9601972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FF9A464"/>
    <w:multiLevelType w:val="singleLevel"/>
    <w:tmpl w:val="6FF9A46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yNDRhYzU0ZjQ1ODg5ZWU3NzY5NWRiYjVjYTE2YmIifQ=="/>
  </w:docVars>
  <w:rsids>
    <w:rsidRoot w:val="00E652BB"/>
    <w:rsid w:val="000203A5"/>
    <w:rsid w:val="00091FEC"/>
    <w:rsid w:val="000E1D1E"/>
    <w:rsid w:val="0012308A"/>
    <w:rsid w:val="00124B8C"/>
    <w:rsid w:val="00143369"/>
    <w:rsid w:val="00192390"/>
    <w:rsid w:val="001E4682"/>
    <w:rsid w:val="00235C42"/>
    <w:rsid w:val="002A19D4"/>
    <w:rsid w:val="002B6D35"/>
    <w:rsid w:val="00305BCF"/>
    <w:rsid w:val="00345667"/>
    <w:rsid w:val="00364A71"/>
    <w:rsid w:val="003C54B1"/>
    <w:rsid w:val="004247CE"/>
    <w:rsid w:val="00427A2E"/>
    <w:rsid w:val="004F6248"/>
    <w:rsid w:val="005550E0"/>
    <w:rsid w:val="00555A4D"/>
    <w:rsid w:val="00594710"/>
    <w:rsid w:val="0060400A"/>
    <w:rsid w:val="00607A93"/>
    <w:rsid w:val="00642AC5"/>
    <w:rsid w:val="00675D25"/>
    <w:rsid w:val="006A58B3"/>
    <w:rsid w:val="006B02E6"/>
    <w:rsid w:val="0074352F"/>
    <w:rsid w:val="00744A1E"/>
    <w:rsid w:val="00756321"/>
    <w:rsid w:val="007D6BEF"/>
    <w:rsid w:val="008220A9"/>
    <w:rsid w:val="00872B5B"/>
    <w:rsid w:val="008A5375"/>
    <w:rsid w:val="008F1770"/>
    <w:rsid w:val="00914702"/>
    <w:rsid w:val="00A345D8"/>
    <w:rsid w:val="00A67538"/>
    <w:rsid w:val="00AB2932"/>
    <w:rsid w:val="00AB6C2D"/>
    <w:rsid w:val="00AB6D61"/>
    <w:rsid w:val="00B15663"/>
    <w:rsid w:val="00B25F5E"/>
    <w:rsid w:val="00B80EBA"/>
    <w:rsid w:val="00BA1488"/>
    <w:rsid w:val="00BB2559"/>
    <w:rsid w:val="00BD0BD0"/>
    <w:rsid w:val="00BF2658"/>
    <w:rsid w:val="00C53F6B"/>
    <w:rsid w:val="00C54726"/>
    <w:rsid w:val="00C633DD"/>
    <w:rsid w:val="00CB6635"/>
    <w:rsid w:val="00CD673E"/>
    <w:rsid w:val="00CE02CF"/>
    <w:rsid w:val="00D52E43"/>
    <w:rsid w:val="00E06B25"/>
    <w:rsid w:val="00E31882"/>
    <w:rsid w:val="00E652BB"/>
    <w:rsid w:val="00ED535E"/>
    <w:rsid w:val="00EE53E9"/>
    <w:rsid w:val="00EE70BB"/>
    <w:rsid w:val="00F118D5"/>
    <w:rsid w:val="00F5643B"/>
    <w:rsid w:val="011924CB"/>
    <w:rsid w:val="014421DE"/>
    <w:rsid w:val="01A60D6B"/>
    <w:rsid w:val="02425CB3"/>
    <w:rsid w:val="043F1F21"/>
    <w:rsid w:val="052B2F21"/>
    <w:rsid w:val="071719AF"/>
    <w:rsid w:val="076D6A54"/>
    <w:rsid w:val="0B8909A2"/>
    <w:rsid w:val="0F0A1FBB"/>
    <w:rsid w:val="11D81D3B"/>
    <w:rsid w:val="12591D71"/>
    <w:rsid w:val="13426006"/>
    <w:rsid w:val="1393060F"/>
    <w:rsid w:val="16905B40"/>
    <w:rsid w:val="1AC639B7"/>
    <w:rsid w:val="1E7D6014"/>
    <w:rsid w:val="1E803E86"/>
    <w:rsid w:val="20564E9E"/>
    <w:rsid w:val="20DF4AE2"/>
    <w:rsid w:val="20E757FA"/>
    <w:rsid w:val="210241E5"/>
    <w:rsid w:val="215E6BA5"/>
    <w:rsid w:val="21FE56DE"/>
    <w:rsid w:val="25C1725E"/>
    <w:rsid w:val="2A04596B"/>
    <w:rsid w:val="2BAA5884"/>
    <w:rsid w:val="2CB216AE"/>
    <w:rsid w:val="2CF46A96"/>
    <w:rsid w:val="2F1523C9"/>
    <w:rsid w:val="2F3E7229"/>
    <w:rsid w:val="2F8A6913"/>
    <w:rsid w:val="3041038A"/>
    <w:rsid w:val="31396471"/>
    <w:rsid w:val="32F838E4"/>
    <w:rsid w:val="33A1247D"/>
    <w:rsid w:val="34073381"/>
    <w:rsid w:val="34C101A9"/>
    <w:rsid w:val="355D79F0"/>
    <w:rsid w:val="372E4027"/>
    <w:rsid w:val="38BA0D54"/>
    <w:rsid w:val="3B031181"/>
    <w:rsid w:val="3D183A57"/>
    <w:rsid w:val="3D216A7B"/>
    <w:rsid w:val="3F051B12"/>
    <w:rsid w:val="3FA07A8C"/>
    <w:rsid w:val="41BC504F"/>
    <w:rsid w:val="42B23738"/>
    <w:rsid w:val="45A007E6"/>
    <w:rsid w:val="45F87147"/>
    <w:rsid w:val="47E0311C"/>
    <w:rsid w:val="4A3F257B"/>
    <w:rsid w:val="4E766588"/>
    <w:rsid w:val="4F5A77BB"/>
    <w:rsid w:val="52622D00"/>
    <w:rsid w:val="53115F14"/>
    <w:rsid w:val="55F04A94"/>
    <w:rsid w:val="5C382693"/>
    <w:rsid w:val="5CB12E81"/>
    <w:rsid w:val="639B38CE"/>
    <w:rsid w:val="670F7533"/>
    <w:rsid w:val="67F42874"/>
    <w:rsid w:val="69124C00"/>
    <w:rsid w:val="69662230"/>
    <w:rsid w:val="6BCB7E94"/>
    <w:rsid w:val="6CB2673E"/>
    <w:rsid w:val="6DD62748"/>
    <w:rsid w:val="6E6E421B"/>
    <w:rsid w:val="6F1C062E"/>
    <w:rsid w:val="701F03D6"/>
    <w:rsid w:val="74D53759"/>
    <w:rsid w:val="7C653614"/>
    <w:rsid w:val="7FA2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FollowedHyperlink"/>
    <w:basedOn w:val="8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1">
    <w:name w:val="HTML Definition"/>
    <w:basedOn w:val="8"/>
    <w:semiHidden/>
    <w:unhideWhenUsed/>
    <w:qFormat/>
    <w:uiPriority w:val="99"/>
    <w:rPr>
      <w:i/>
    </w:rPr>
  </w:style>
  <w:style w:type="character" w:styleId="12">
    <w:name w:val="Hyperlink"/>
    <w:basedOn w:val="8"/>
    <w:unhideWhenUsed/>
    <w:qFormat/>
    <w:uiPriority w:val="99"/>
    <w:rPr>
      <w:color w:val="0000FF"/>
      <w:u w:val="single"/>
    </w:rPr>
  </w:style>
  <w:style w:type="character" w:styleId="13">
    <w:name w:val="HTML Code"/>
    <w:basedOn w:val="8"/>
    <w:semiHidden/>
    <w:unhideWhenUsed/>
    <w:qFormat/>
    <w:uiPriority w:val="99"/>
    <w:rPr>
      <w:rFonts w:hint="default" w:ascii="monospace" w:hAnsi="monospace" w:eastAsia="monospace" w:cs="monospace"/>
      <w:sz w:val="21"/>
      <w:szCs w:val="21"/>
    </w:rPr>
  </w:style>
  <w:style w:type="character" w:styleId="14">
    <w:name w:val="HTML Keyboard"/>
    <w:basedOn w:val="8"/>
    <w:semiHidden/>
    <w:unhideWhenUsed/>
    <w:qFormat/>
    <w:uiPriority w:val="99"/>
    <w:rPr>
      <w:rFonts w:ascii="monospace" w:hAnsi="monospace" w:eastAsia="monospace" w:cs="monospace"/>
      <w:sz w:val="21"/>
      <w:szCs w:val="21"/>
    </w:rPr>
  </w:style>
  <w:style w:type="character" w:styleId="15">
    <w:name w:val="HTML Sample"/>
    <w:basedOn w:val="8"/>
    <w:semiHidden/>
    <w:unhideWhenUsed/>
    <w:qFormat/>
    <w:uiPriority w:val="99"/>
    <w:rPr>
      <w:rFonts w:hint="default" w:ascii="monospace" w:hAnsi="monospace" w:eastAsia="monospace" w:cs="monospace"/>
      <w:sz w:val="21"/>
      <w:szCs w:val="21"/>
    </w:rPr>
  </w:style>
  <w:style w:type="character" w:customStyle="1" w:styleId="16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7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8">
    <w:name w:val="批注框文本 Char"/>
    <w:basedOn w:val="8"/>
    <w:link w:val="2"/>
    <w:semiHidden/>
    <w:qFormat/>
    <w:uiPriority w:val="99"/>
    <w:rPr>
      <w:sz w:val="18"/>
      <w:szCs w:val="18"/>
    </w:rPr>
  </w:style>
  <w:style w:type="character" w:customStyle="1" w:styleId="19">
    <w:name w:val="active4"/>
    <w:basedOn w:val="8"/>
    <w:qFormat/>
    <w:uiPriority w:val="0"/>
    <w:rPr>
      <w:shd w:val="clear" w:fill="EEEEEE"/>
    </w:rPr>
  </w:style>
  <w:style w:type="character" w:customStyle="1" w:styleId="20">
    <w:name w:val="layui-laypage-curr"/>
    <w:basedOn w:val="8"/>
    <w:qFormat/>
    <w:uiPriority w:val="0"/>
  </w:style>
  <w:style w:type="character" w:customStyle="1" w:styleId="21">
    <w:name w:val="before"/>
    <w:basedOn w:val="8"/>
    <w:qFormat/>
    <w:uiPriority w:val="0"/>
    <w:rPr>
      <w:rFonts w:ascii="common-icon" w:hAnsi="common-icon" w:eastAsia="common-icon" w:cs="common-icon"/>
      <w:color w:val="CCCCCC"/>
      <w:sz w:val="26"/>
      <w:szCs w:val="26"/>
    </w:rPr>
  </w:style>
  <w:style w:type="character" w:customStyle="1" w:styleId="22">
    <w:name w:val="before1"/>
    <w:basedOn w:val="8"/>
    <w:qFormat/>
    <w:uiPriority w:val="0"/>
    <w:rPr>
      <w:rFonts w:hint="default" w:ascii="common-icon" w:hAnsi="common-icon" w:eastAsia="common-icon" w:cs="common-icon"/>
      <w:color w:val="CCCCCC"/>
      <w:sz w:val="26"/>
      <w:szCs w:val="26"/>
    </w:rPr>
  </w:style>
  <w:style w:type="paragraph" w:customStyle="1" w:styleId="23">
    <w:name w:val="正文缩进 + 首行缩进:  2 字符"/>
    <w:basedOn w:val="1"/>
    <w:qFormat/>
    <w:uiPriority w:val="0"/>
    <w:pPr>
      <w:spacing w:line="560" w:lineRule="exact"/>
      <w:ind w:firstLine="640"/>
    </w:pPr>
    <w:rPr>
      <w:rFonts w:ascii="仿宋" w:hAnsi="仿宋" w:eastAsia="仿宋" w:cs="宋体"/>
      <w:sz w:val="32"/>
      <w:szCs w:val="20"/>
    </w:rPr>
  </w:style>
  <w:style w:type="paragraph" w:customStyle="1" w:styleId="24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www.wps.cn/officeDocument/2018/webExtension" Target="webExtensions/webExtension4.xml"/><Relationship Id="rId18" Type="http://schemas.openxmlformats.org/officeDocument/2006/relationships/image" Target="media/image12.png"/><Relationship Id="rId17" Type="http://www.wps.cn/officeDocument/2018/webExtension" Target="webExtensions/webExtension3.xml"/><Relationship Id="rId16" Type="http://schemas.openxmlformats.org/officeDocument/2006/relationships/image" Target="media/image11.png"/><Relationship Id="rId15" Type="http://www.wps.cn/officeDocument/2018/webExtension" Target="webExtensions/webExtension2.xml"/><Relationship Id="rId14" Type="http://schemas.openxmlformats.org/officeDocument/2006/relationships/image" Target="media/image10.png"/><Relationship Id="rId13" Type="http://www.wps.cn/officeDocument/2018/webExtension" Target="webExtensions/webExtension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word/webExtensions/_rels/webExtension1.xml.rels><?xml version="1.0" encoding="UTF-8" standalone="yes"?>
<Relationships xmlns="http://schemas.openxmlformats.org/package/2006/relationships"><Relationship Id="rId2" Type="http://schemas.openxmlformats.org/officeDocument/2006/relationships/image" Target="../media/image14.png"/><Relationship Id="rId1" Type="http://schemas.openxmlformats.org/officeDocument/2006/relationships/package" Target="../embeddings/Workbook1.xlsx"/></Relationships>
</file>

<file path=word/webExtensions/_rels/webExtension2.xml.rels><?xml version="1.0" encoding="UTF-8" standalone="yes"?>
<Relationships xmlns="http://schemas.openxmlformats.org/package/2006/relationships"><Relationship Id="rId2" Type="http://schemas.openxmlformats.org/officeDocument/2006/relationships/image" Target="../media/image15.png"/><Relationship Id="rId1" Type="http://schemas.openxmlformats.org/officeDocument/2006/relationships/package" Target="../embeddings/Workbook2.xlsx"/></Relationships>
</file>

<file path=word/webExtensions/_rels/webExtension3.xml.rels><?xml version="1.0" encoding="UTF-8" standalone="yes"?>
<Relationships xmlns="http://schemas.openxmlformats.org/package/2006/relationships"><Relationship Id="rId2" Type="http://schemas.openxmlformats.org/officeDocument/2006/relationships/image" Target="../media/image16.png"/><Relationship Id="rId1" Type="http://schemas.openxmlformats.org/officeDocument/2006/relationships/package" Target="../embeddings/Workbook3.xlsx"/></Relationships>
</file>

<file path=word/webExtensions/_rels/webExtension4.xml.rels><?xml version="1.0" encoding="UTF-8" standalone="yes"?>
<Relationships xmlns="http://schemas.openxmlformats.org/package/2006/relationships"><Relationship Id="rId2" Type="http://schemas.openxmlformats.org/officeDocument/2006/relationships/image" Target="../media/image17.png"/><Relationship Id="rId1" Type="http://schemas.openxmlformats.org/officeDocument/2006/relationships/package" Target="../embeddings/Workbook4.xlsx"/></Relationships>
</file>

<file path=word/webExtensions/webExtension1.xml><?xml version="1.0" encoding="utf-8"?>
<wpswe:webExtension xmlns:wpswe="http://www.wps.cn/officeDocument/2018/webExtension">
  <wpswe:extSource id="dschart" version="1.0"/>
  <wpswe:properties>
    <wpswe:property key="DiscardFirstCodeChange" value="0"/>
    <wpswe:property key="autoSnapshot" value="0"/>
    <wpswe:property key="dschart" value="{&quot;dschart_data&quot;:{&quot;blockId&quot;:&quot;161249688700346085&quot;,&quot;chart_type&quot;:&quot;柱状图&quot;,&quot;classifty_type&quot;:[&quot;比较类&quot;],&quot;dataSrc&quot;:{&quot;data&quot;:[[[&quot;地区&quot;,&quot;收支总计（万元）&quot;],[&quot;2021&quot;,&quot;4706.9&quot;],[&quot;2022&quot;,&quot;7096.03&quot;]]],&quot;dataType&quot;:&quot;obejct-table&quot;,&quot;download&quot;:false,&quot;srcType&quot;:&quot;local&quot;,&quot;url&quot;:&quot;&quot;},&quot;function_type&quot;:[&quot;柱形图&quot;],&quot;gif&quot;:&quot;//web.docer.wpscdn.cn/docer/ds-page/v2/images/444734748594536323.gif?imageView2/2/w/500/quality/90&quot;,&quot;isFree&quot;:&quot;0&quot;,&quot;label&quot;:&quot;&lt;e-barbasic-chart&gt;&quot;,&quot;projectId&quot;:&quot;444734748594536323&quot;,&quot;props&quot;:{&quot;animation&quot;:{&quot;duration&quot;:&quot;2&quot;,&quot;easeStyle&quot;:&quot;&quot;,&quot;endPause&quot;:&quot;1&quot;,&quot;moveOptions&quot;:[&quot;纵向整体拉伸&quot;,&quot;纵向分组拉伸&quot;,&quot;纵向分类拉伸&quot;,&quot;横向分组展开&quot;,&quot;横向同步展开&quot;,&quot;横向分类展开&quot;],&quot;moveStyle&quot;:&quot;纵向整体拉伸&quot;,&quot;startDelay&quot;:&quot;0&quot;,&quot;transition&quot;:true},&quot;axis&quot;:{&quot;grid&quot;:{&quot;color&quot;:&quot;#e9e9e9&quot;,&quot;gridLineWidth&quot;:&quot;1&quot;,&quot;lineStyle&quot;:&quot;dashline&quot;,&quot;show&quot;:&quot;x&quot;},&quot;x&quot;:{&quot;axisColor&quot;:&quot;#bfbfbf&quot;,&quot;axisLineWidth&quot;:&quot;1&quot;,&quot;axisShow&quot;:true,&quot;labelAngle&quot;:&quot;0&quot;,&quot;labelDirection&quot;:&quot;自动&quot;,&quot;labelDirectionOptions&quot;:[&quot;自动&quot;,&quot;横排&quot;,&quot;竖排&quot;],&quot;labelShow&quot;:true,&quot;name&quot;:&quot;&quot;},&quot;y&quot;:{&quot;axisColor&quot;:&quot;#bfbfbf&quot;,&quot;axisLineWidth&quot;:&quot;1&quot;,&quot;axisShow&quot;:false,&quot;labelShow&quot;:true,&quot;labelSuffix&quot;:&quot;&quot;,&quot;name&quot;:&quot;&quot;,&quot;range&quot;:[],&quot;stepOfLabel&quot;:&quot;&quot;}},&quot;backgroundColor&quot;:&quot;&quot;,&quot;colors&quot;:{&quot;colorControlers&quot;:[&quot;multiple&quot;],&quot;list&quot;:[0],&quot;type&quot;:&quot;multiple&quot;},&quot;display&quot;:{&quot;bar4CornerRadius&quot;:[0,0,0,0],&quot;barWidthPercent&quot;:&quot;0.5&quot;,&quot;barborderColor&quot;:&quot;&quot;,&quot;barborderWidth&quot;:&quot;0&quot;,&quot;fillOpacity&quot;:&quot;1&quot;},&quot;font&quot;:{&quot;color&quot;:&quot;#545454&quot;,&quot;fontFamily&quot;:&quot;黑体&quot;,&quot;fontSize&quot;:&quot;14&quot;},&quot;label&quot;:{&quot;display&quot;:false,&quot;positionChoice&quot;:&quot;上面&quot;,&quot;positionOptions&quot;:[&quot;上面&quot;,&quot;内部居下&quot;],&quot;suffix&quot;:&quot;&quot;,&quot;textLabel&quot;:{&quot;color&quot;:&quot;#545454&quot;,&quot;fontFamily&quot;:&quot;黑体&quot;,&quot;fontSize&quot;:&quot;14&quot;}},&quot;legend&quot;:{&quot;color&quot;:[&quot;#545454&quot;],&quot;fontFamily&quot;:[&quot;黑体&quot;],&quot;fontSize&quot;:&quot;14&quot;,&quot;lineHeight&quot;:&quot;15&quot;,&quot;show&quot;:true,&quot;style&quot;:&quot;&quot;,&quot;styleOptions&quot;:[],&quot;xPosition&quot;:&quot;center&quot;,&quot;yPosition&quot;:&quot;bottom&quot;},&quot;logoDisplay&quot;:{&quot;bottomLineHeight&quot;:&quot;15&quot;,&quot;imgHeight&quot;:&quot;32&quot;,&quot;imgUrl&quot;:&quot;https://ss1.dydata.io/newchartLogo.png&quot;,&quot;show&quot;:true,&quot;topLineHeight&quot;:&quot;11&quot;},&quot;map&quot;:[[{&quot;allowType&quot;:[&quot;string&quot;],&quot;configurable&quot;:false,&quot;function&quot;:&quot;objCol&quot;,&quot;index&quot;:0,&quot;isLegend&quot;:false,&quot;name&quot;:&quot;X轴对象&quot;},{&quot;allowType&quot;:[&quot;number&quot;],&quot;configurable&quot;:true,&quot;function&quot;:&quot;vCol&quot;,&quot;index&quot;:1,&quot;isLegend&quot;:false,&quot;name&quot;:&quot;数值列&quot;}]],&quot;numberFormat&quot;:{&quot;decimalPlaces&quot;:&quot;&quot;,&quot;style&quot;:&quot;1000.00&quot;},&quot;paddings&quot;:{&quot;bottom&quot;:&quot;33&quot;,&quot;chartBottom&quot;:&quot;5&quot;,&quot;left&quot;:&quot;24&quot;,&quot;right&quot;:&quot;24&quot;,&quot;top&quot;:&quot;24&quot;},&quot;publishDisplay&quot;:{&quot;color&quot;:&quot;#878787&quot;,&quot;fontFamily&quot;:&quot;黑体&quot;,&quot;fontSize&quot;:&quot;14&quot;,&quot;show&quot;:true,&quot;text&quot;:&quot;镝数出品&quot;},&quot;shadow&quot;:{&quot;display&quot;:false,&quot;shadowAngle&quot;:&quot;45&quot;,&quot;shadowBlur&quot;:&quot;5&quot;,&quot;shadowColor&quot;:&quot;#c6c6c6&quot;,&quot;shadowOpacity&quot;:&quot;100&quot;,&quot;shadowRadius&quot;:&quot;3&quot;},&quot;size&quot;:{&quot;height&quot;:300,&quot;ratio&quot;:&quot;&quot;,&quot;rotate&quot;:0,&quot;width&quot;:533},&quot;sourceDisplay&quot;:{&quot;color&quot;:&quot;#878787&quot;,&quot;fontFamily&quot;:&quot;黑体&quot;,&quot;fontSize&quot;:&quot;14&quot;,&quot;show&quot;:false,&quot;text&quot;:&quot;数据来源：示例数据&quot;,&quot;topLineHeight&quot;:&quot;15&quot;,&quot;xPosition&quot;:&quot;left&quot;,&quot;yPosition&quot;:&quot;bottom&quot;},&quot;titleDisplay&quot;:{&quot;color&quot;:&quot;#4c4c4c&quot;,&quot;fontFamily&quot;:&quot;黑体&quot;,&quot;fontSize&quot;:&quot;36&quot;,&quot;lineHeight&quot;:&quot;10&quot;,&quot;show&quot;:false,&quot;text&quot;:&quot;2018年全国各地区销售额情况&quot;,&quot;totalHeight&quot;:&quot;39&quot;,&quot;xPosition&quot;:&quot;left&quot;,&quot;yPosition&quot;:&quot;top&quot;},&quot;tooltip&quot;:true,&quot;unitDisplay&quot;:{&quot;bottomLineHeight&quot;:&quot;15&quot;,&quot;color&quot;:&quot;#878787&quot;,&quot;fontFamily&quot;:&quot;黑体&quot;,&quot;fontSize&quot;:&quot;14&quot;,&quot;show&quot;:false,&quot;text&quot;:&quot;单位：万元&quot;,&quot;xPosition&quot;:&quot;left&quot;,&quot;yPosition&quot;:&quot;top&quot;},&quot;watermarkDisplay&quot;:{&quot;imgHeight&quot;:&quot;80&quot;,&quot;imgUrl&quot;:&quot;https://ss1.dydata.io/newchartWatermark.png&quot;,&quot;imgWidth&quot;:&quot;80&quot;,&quot;show&quot;:false}},&quot;templateId&quot;:&quot;444734748594536323&quot;,&quot;templateSwitch&quot;:&quot;cross&quot;,&quot;theme&quot;:{&quot;axis&quot;:{&quot;color&quot;:&quot;#a1a1a1&quot;},&quot;backgroundColor&quot;:&quot;#FFFFFF&quot;,&quot;colors&quot;:[&quot;#5AAEF3&quot;,&quot;#62D9AD&quot;,&quot;#5B6E96&quot;,&quot;#a8dffa&quot;,&quot;#ffdc4c&quot;,&quot;#FF974C&quot;,&quot;#E65A56&quot;,&quot;#6D61E4&quot;,&quot;#4A6FE2&quot;,&quot;#6D9AE7&quot;,&quot;#23C2DB&quot;,&quot;#D4EC59&quot;,&quot;#FFE88E&quot;,&quot;#FEB64D&quot;,&quot;#FB6E6C&quot;],&quot;fonts&quot;:{&quot;accessoryColor&quot;:&quot;#878787&quot;,&quot;color&quot;:&quot;#545454&quot;,&quot;fontFamily&quot;:&quot;黑体&quot;,&quot;fontSize&quot;:&quot;14&quot;},&quot;grid&quot;:{&quot;color&quot;:&quot;#ccc&quot;},&quot;name&quot;:&quot;默认主题&quot;,&quot;price&quot;:&quot;0.0&quot;,&quot;shapeColor&quot;:1,&quot;themeId&quot;:&quot;18&quot;,&quot;titleFont&quot;:{&quot;color&quot;:&quot;#4c4c4c&quot;,&quot;fontFamily&quot;:&quot;黑体&quot;,&quot;fontSize&quot;:&quot;36&quot;}},&quot;thumb&quot;:&quot;//web.docer.wpscdn.cn/docer/ds-page/v2/images/S9mQy7TtDPRefubPR9f5hY.CBEB17BE.jpg?imageView2/2/w/500/quality/90&quot;,&quot;title&quot;:&quot;基础柱状图&quot;,&quot;type&quot;:&quot;chart&quot;},&quot;dschart_id&quot;:&quot;444734748594536323&quot;,&quot;id&quot;:&quot;40&quot;}"/>
    <wpswe:property key="isUseCommonErrorPage" value="false"/>
    <wpswe:property key="loadingImage" value="res:/icons/WebChartLoading_wps.svg"/>
  </wpswe:properties>
  <wpswe:watchingCache>
    <wpswe:linkPath>C:/Users/Administrator/AppData/Local/Temp/wps.JEYJmn/Workbook1.xlsx</wpswe:linkPath>
  </wpswe:watchingCache>
  <wpswe:snapshot xmlns:r="http://schemas.openxmlformats.org/officeDocument/2006/relationships" r:embed="rId2"/>
  <wpswe:externalData xmlns:r="http://schemas.openxmlformats.org/officeDocument/2006/relationships" r:id="rId1"/>
  <wpswe:url>https://clientweb.docer.wps.cn//docer-ds/web-shape-1.0.0/?id=40&amp;dschart_id=444734748594536323&amp;from=writer&amp;productEntry=insert&amp;sceneEntry=rec-90</wpswe:url>
  <wpswe:constantSnapshot>false</wpswe:constantSnapshot>
</wpswe:webExtension>
</file>

<file path=word/webExtensions/webExtension2.xml><?xml version="1.0" encoding="utf-8"?>
<wpswe:webExtension xmlns:wpswe="http://www.wps.cn/officeDocument/2018/webExtension">
  <wpswe:extSource id="dschart" version="1.0"/>
  <wpswe:properties>
    <wpswe:property key="DiscardFirstCodeChange" value="0"/>
    <wpswe:property key="autoSnapshot" value="0"/>
    <wpswe:property key="dschart" value="{&quot;dschart_data&quot;:{&quot;blockId&quot;:&quot;161243067158731941&quot;,&quot;chart_type&quot;:&quot;饼图&quot;,&quot;classifty_type&quot;:[&quot;占比类&quot;],&quot;dataSrc&quot;:{&quot;data&quot;:[[[&quot;收入项目&quot;,&quot;占比（%）&quot;],[&quot;财政拨款收入&quot;,&quot;28.8&quot;],[&quot;政府性基金预算&quot;,&quot;28.9&quot;],[&quot;上级补助&quot;,&quot;0.7&quot;],[&quot;事业收入&quot;,&quot;41.3&quot;],[&quot;其他收入&quot;,1.8]]],&quot;dataType&quot;:&quot;obejct-table&quot;,&quot;download&quot;:false,&quot;srcType&quot;:&quot;local&quot;,&quot;url&quot;:&quot;&quot;},&quot;function_type&quot;:[&quot;饼图&quot;],&quot;gif&quot;:&quot;//web.docer.wpscdn.cn/docer/ds-page/v2/images/444746070325460997.gif?imageView2/2/w/500/quality/90&quot;,&quot;isFree&quot;:&quot;0&quot;,&quot;label&quot;:&quot;&lt;e-piebasic-chart&gt;&quot;,&quot;projectId&quot;:&quot;444746070325460997&quot;,&quot;props&quot;:{&quot;animation&quot;:{&quot;duration&quot;:&quot;1.5&quot;,&quot;easeStyle&quot;:&quot;&quot;,&quot;endPause&quot;:&quot;1&quot;,&quot;moveOptions&quot;:[&quot;轮子&quot;,&quot;百叶窗&quot;,&quot;折扇&quot;,&quot;径向展开&quot;],&quot;moveStyle&quot;:&quot;轮子&quot;,&quot;startDelay&quot;:&quot;0&quot;,&quot;transition&quot;:true},&quot;axis&quot;:&quot;&quot;,&quot;backgroundColor&quot;:&quot;&quot;,&quot;colors&quot;:{&quot;colorControlers&quot;:[&quot;multiple&quot;,&quot;linear&quot;],&quot;list&quot;:[0,1,2,3,4],&quot;type&quot;:&quot;multiple&quot;},&quot;display&quot;:{&quot;borderColor&quot;:&quot;#FFFFFF&quot;,&quot;borderWidth&quot;:&quot;1&quot;,&quot;cornerRadius&quot;:&quot;0&quot;,&quot;fillOpacity&quot;:&quot;1&quot;,&quot;gapPercentage&quot;:&quot;0&quot;,&quot;innerRadiusRatio&quot;:&quot;0&quot;},&quot;label&quot;:{&quot;contentChoice&quot;:[&quot;名称&quot;,&quot;百分比&quot;],&quot;contentOption&quot;:[&quot;名称&quot;,&quot;百分比&quot;,&quot;数值&quot;],&quot;display&quot;:false,&quot;positionChoice&quot;:&quot;内部水平&quot;,&quot;positionOptions&quot;:[&quot;内部周向&quot;,&quot;内部水平&quot;,&quot;外部&quot;],&quot;suffix&quot;:&quot;&quot;,&quot;textLabel&quot;:{&quot;color&quot;:&quot;#545454&quot;,&quot;fontFamily&quot;:&quot;黑体&quot;,&quot;fontSize&quot;:&quot;14&quot;}},&quot;legend&quot;:{&quot;color&quot;:[&quot;#545454&quot;],&quot;fontFamily&quot;:[&quot;黑体&quot;],&quot;fontSize&quot;:&quot;14&quot;,&quot;lineHeight&quot;:&quot;15&quot;,&quot;show&quot;:true,&quot;style&quot;:&quot;&quot;,&quot;styleOptions&quot;:[],&quot;xPosition&quot;:&quot;center&quot;,&quot;yPosition&quot;:&quot;bottom&quot;},&quot;logoDisplay&quot;:{&quot;bottomLineHeight&quot;:&quot;15&quot;,&quot;imgHeight&quot;:&quot;32&quot;,&quot;imgUrl&quot;:&quot;https://ss1.dydata.io/newchartLogo.png&quot;,&quot;show&quot;:true,&quot;topLineHeight&quot;:&quot;11&quot;},&quot;map&quot;:[[{&quot;allowType&quot;:[&quot;string&quot;],&quot;configurable&quot;:false,&quot;function&quot;:&quot;objCol&quot;,&quot;index&quot;:0,&quot;isLegend&quot;:true,&quot;name&quot;:&quot;名称&quot;},{&quot;allowType&quot;:[&quot;number&quot;],&quot;configurable&quot;:false,&quot;function&quot;:&quot;vCol&quot;,&quot;index&quot;:1,&quot;isLegend&quot;:false,&quot;name&quot;:&quot;值&quot;}]],&quot;numberFormat&quot;:{&quot;decimalPlaces&quot;:&quot;&quot;,&quot;style&quot;:&quot;1000.00&quot;},&quot;paddings&quot;:{&quot;bottom&quot;:&quot;33&quot;,&quot;chartBottom&quot;:&quot;5&quot;,&quot;left&quot;:&quot;24&quot;,&quot;right&quot;:&quot;24&quot;,&quot;top&quot;:&quot;24&quot;},&quot;publishDisplay&quot;:{&quot;color&quot;:&quot;#878787&quot;,&quot;fontFamily&quot;:&quot;黑体&quot;,&quot;fontSize&quot;:&quot;14&quot;,&quot;show&quot;:true,&quot;text&quot;:&quot;镝数出品&quot;},&quot;shadow&quot;:{&quot;display&quot;:false,&quot;shadowAngle&quot;:&quot;45&quot;,&quot;shadowBlur&quot;:&quot;5&quot;,&quot;shadowColor&quot;:&quot;#c6c6c6&quot;,&quot;shadowOpacity&quot;:&quot;100&quot;,&quot;shadowRadius&quot;:&quot;3&quot;},&quot;size&quot;:{&quot;height&quot;:300,&quot;ratio&quot;:&quot;&quot;,&quot;rotate&quot;:0,&quot;width&quot;:533},&quot;sourceDisplay&quot;:{&quot;color&quot;:&quot;#878787&quot;,&quot;fontFamily&quot;:&quot;黑体&quot;,&quot;fontSize&quot;:&quot;14&quot;,&quot;show&quot;:false,&quot;text&quot;:&quot;数据来源：示例数据&quot;,&quot;topLineHeight&quot;:&quot;15&quot;,&quot;xPosition&quot;:&quot;left&quot;,&quot;yPosition&quot;:&quot;bottom&quot;},&quot;titleDisplay&quot;:{&quot;color&quot;:&quot;#4c4c4c&quot;,&quot;fontFamily&quot;:&quot;黑体&quot;,&quot;fontSize&quot;:&quot;36&quot;,&quot;lineHeight&quot;:&quot;10&quot;,&quot;show&quot;:false,&quot;text&quot;:&quot;中国网红受教育水平&quot;,&quot;totalHeight&quot;:&quot;39&quot;,&quot;xPosition&quot;:&quot;left&quot;,&quot;yPosition&quot;:&quot;top&quot;},&quot;tooltip&quot;:true,&quot;unitDisplay&quot;:{&quot;bottomLineHeight&quot;:&quot;15&quot;,&quot;color&quot;:&quot;#878787&quot;,&quot;fontFamily&quot;:&quot;黑体&quot;,&quot;fontSize&quot;:&quot;14&quot;,&quot;show&quot;:false,&quot;text&quot;:&quot;单位：%&quot;,&quot;xPosition&quot;:&quot;left&quot;,&quot;yPosition&quot;:&quot;top&quot;},&quot;watermarkDisplay&quot;:{&quot;imgHeight&quot;:&quot;80&quot;,&quot;imgUrl&quot;:&quot;https://ss1.dydata.io/newchartWatermark.png&quot;,&quot;imgWidth&quot;:&quot;80&quot;,&quot;show&quot;:false}},&quot;templateId&quot;:&quot;444746070325460997&quot;,&quot;templateSwitch&quot;:&quot;key-value&quot;,&quot;theme&quot;:{&quot;axis&quot;:{&quot;color&quot;:&quot;#a1a1a1&quot;},&quot;backgroundColor&quot;:&quot;#FFFFFF&quot;,&quot;colors&quot;:[&quot;#5AAEF3&quot;,&quot;#62D9AD&quot;,&quot;#5B6E96&quot;,&quot;#a8dffa&quot;,&quot;#ffdc4c&quot;,&quot;#FF974C&quot;,&quot;#E65A56&quot;,&quot;#6D61E4&quot;,&quot;#4A6FE2&quot;,&quot;#6D9AE7&quot;,&quot;#23C2DB&quot;,&quot;#D4EC59&quot;,&quot;#FFE88E&quot;,&quot;#FEB64D&quot;,&quot;#FB6E6C&quot;],&quot;fonts&quot;:{&quot;accessoryColor&quot;:&quot;#878787&quot;,&quot;color&quot;:&quot;#545454&quot;,&quot;fontFamily&quot;:&quot;黑体&quot;,&quot;fontSize&quot;:&quot;14&quot;},&quot;grid&quot;:{&quot;color&quot;:&quot;#ccc&quot;},&quot;name&quot;:&quot;默认主题&quot;,&quot;price&quot;:&quot;0.0&quot;,&quot;shapeColor&quot;:1,&quot;themeId&quot;:&quot;18&quot;,&quot;titleFont&quot;:{&quot;color&quot;:&quot;#4c4c4c&quot;,&quot;fontFamily&quot;:&quot;黑体&quot;,&quot;fontSize&quot;:&quot;36&quot;}},&quot;thumb&quot;:&quot;//web.docer.wpscdn.cn/docer/ds-page/v2/images/E8hjxBcbsDqAkMBMmTgoN2.D0C288B1.jpg?imageView2/2/w/500/quality/90&quot;,&quot;title&quot;:&quot;基础饼图&quot;,&quot;type&quot;:&quot;chart&quot;},&quot;dschart_id&quot;:&quot;444746070325460997&quot;,&quot;id&quot;:&quot;50&quot;}"/>
    <wpswe:property key="isUseCommonErrorPage" value="false"/>
    <wpswe:property key="loadingImage" value="res:/icons/WebChartLoading_wps.svg"/>
  </wpswe:properties>
  <wpswe:watchingCache>
    <wpswe:linkPath>C:/Users/Administrator/AppData/Local/Temp/wps.sgpiIg/Workbook2.xlsx</wpswe:linkPath>
  </wpswe:watchingCache>
  <wpswe:snapshot xmlns:r="http://schemas.openxmlformats.org/officeDocument/2006/relationships" r:embed="rId2"/>
  <wpswe:externalData xmlns:r="http://schemas.openxmlformats.org/officeDocument/2006/relationships" r:id="rId1"/>
  <wpswe:url>https://clientweb.docer.wps.cn//docer-ds/web-shape-1.0.0/?id=50&amp;dschart_id=444746070325460997&amp;from=writer&amp;productEntry=insert&amp;sceneEntry=rec-90</wpswe:url>
  <wpswe:constantSnapshot>false</wpswe:constantSnapshot>
</wpswe:webExtension>
</file>

<file path=word/webExtensions/webExtension3.xml><?xml version="1.0" encoding="utf-8"?>
<wpswe:webExtension xmlns:wpswe="http://www.wps.cn/officeDocument/2018/webExtension">
  <wpswe:extSource id="dschart" version="1.0"/>
  <wpswe:properties>
    <wpswe:property key="DiscardFirstCodeChange" value="0"/>
    <wpswe:property key="autoSnapshot" value="0"/>
    <wpswe:property key="dschart" value="{&quot;dschart_data&quot;:{&quot;blockId&quot;:&quot;161243067158731941&quot;,&quot;chart_type&quot;:&quot;饼图&quot;,&quot;classifty_type&quot;:[&quot;占比类&quot;],&quot;dataSrc&quot;:{&quot;data&quot;:[[[&quot;支出项目&quot;,&quot;占比（%）&quot;],[&quot;卫生健康支出&quot;,&quot;71.6&quot;],[&quot;其他支出&quot;,&quot;28.3&quot;]]],&quot;dataType&quot;:&quot;obejct-table&quot;,&quot;download&quot;:false,&quot;srcType&quot;:&quot;local&quot;,&quot;url&quot;:&quot;&quot;},&quot;function_type&quot;:[&quot;饼图&quot;],&quot;gif&quot;:&quot;//web.docer.wpscdn.cn/docer/ds-page/v2/images/444746070325460997.gif?imageView2/2/w/500/quality/90&quot;,&quot;isFree&quot;:&quot;0&quot;,&quot;label&quot;:&quot;&lt;e-piebasic-chart&gt;&quot;,&quot;projectId&quot;:&quot;444746070325460997&quot;,&quot;props&quot;:{&quot;animation&quot;:{&quot;duration&quot;:&quot;1.5&quot;,&quot;easeStyle&quot;:&quot;&quot;,&quot;endPause&quot;:&quot;1&quot;,&quot;moveOptions&quot;:[&quot;轮子&quot;,&quot;百叶窗&quot;,&quot;折扇&quot;,&quot;径向展开&quot;],&quot;moveStyle&quot;:&quot;轮子&quot;,&quot;startDelay&quot;:&quot;0&quot;,&quot;transition&quot;:true},&quot;axis&quot;:&quot;&quot;,&quot;backgroundColor&quot;:&quot;&quot;,&quot;colors&quot;:{&quot;colorControlers&quot;:[&quot;multiple&quot;,&quot;linear&quot;],&quot;list&quot;:[0,1],&quot;type&quot;:&quot;multiple&quot;},&quot;display&quot;:{&quot;borderColor&quot;:&quot;#FFFFFF&quot;,&quot;borderWidth&quot;:&quot;1&quot;,&quot;cornerRadius&quot;:&quot;0&quot;,&quot;fillOpacity&quot;:&quot;1&quot;,&quot;gapPercentage&quot;:&quot;0&quot;,&quot;innerRadiusRatio&quot;:&quot;0&quot;},&quot;label&quot;:{&quot;contentChoice&quot;:[&quot;名称&quot;,&quot;百分比&quot;],&quot;contentOption&quot;:[&quot;名称&quot;,&quot;百分比&quot;,&quot;数值&quot;],&quot;display&quot;:false,&quot;positionChoice&quot;:&quot;内部水平&quot;,&quot;positionOptions&quot;:[&quot;内部周向&quot;,&quot;内部水平&quot;,&quot;外部&quot;],&quot;suffix&quot;:&quot;&quot;,&quot;textLabel&quot;:{&quot;color&quot;:&quot;#545454&quot;,&quot;fontFamily&quot;:&quot;黑体&quot;,&quot;fontSize&quot;:&quot;14&quot;}},&quot;legend&quot;:{&quot;color&quot;:[&quot;#545454&quot;],&quot;fontFamily&quot;:[&quot;黑体&quot;],&quot;fontSize&quot;:&quot;14&quot;,&quot;lineHeight&quot;:&quot;15&quot;,&quot;show&quot;:true,&quot;style&quot;:&quot;&quot;,&quot;styleOptions&quot;:[],&quot;xPosition&quot;:&quot;center&quot;,&quot;yPosition&quot;:&quot;bottom&quot;},&quot;logoDisplay&quot;:{&quot;bottomLineHeight&quot;:&quot;15&quot;,&quot;imgHeight&quot;:&quot;32&quot;,&quot;imgUrl&quot;:&quot;https://ss1.dydata.io/newchartLogo.png&quot;,&quot;show&quot;:true,&quot;topLineHeight&quot;:&quot;11&quot;},&quot;map&quot;:[[{&quot;allowType&quot;:[&quot;string&quot;],&quot;configurable&quot;:false,&quot;function&quot;:&quot;objCol&quot;,&quot;index&quot;:0,&quot;isLegend&quot;:true,&quot;name&quot;:&quot;名称&quot;},{&quot;allowType&quot;:[&quot;number&quot;],&quot;configurable&quot;:false,&quot;function&quot;:&quot;vCol&quot;,&quot;index&quot;:1,&quot;isLegend&quot;:false,&quot;name&quot;:&quot;值&quot;}]],&quot;numberFormat&quot;:{&quot;decimalPlaces&quot;:&quot;&quot;,&quot;style&quot;:&quot;1000.00&quot;},&quot;paddings&quot;:{&quot;bottom&quot;:&quot;33&quot;,&quot;chartBottom&quot;:&quot;5&quot;,&quot;left&quot;:&quot;24&quot;,&quot;right&quot;:&quot;24&quot;,&quot;top&quot;:&quot;24&quot;},&quot;publishDisplay&quot;:{&quot;color&quot;:&quot;#878787&quot;,&quot;fontFamily&quot;:&quot;黑体&quot;,&quot;fontSize&quot;:&quot;14&quot;,&quot;show&quot;:true,&quot;text&quot;:&quot;镝数出品&quot;},&quot;shadow&quot;:{&quot;display&quot;:false,&quot;shadowAngle&quot;:&quot;45&quot;,&quot;shadowBlur&quot;:&quot;5&quot;,&quot;shadowColor&quot;:&quot;#c6c6c6&quot;,&quot;shadowOpacity&quot;:&quot;100&quot;,&quot;shadowRadius&quot;:&quot;3&quot;},&quot;size&quot;:{&quot;height&quot;:300,&quot;ratio&quot;:&quot;&quot;,&quot;rotate&quot;:0,&quot;width&quot;:533},&quot;sourceDisplay&quot;:{&quot;color&quot;:&quot;#878787&quot;,&quot;fontFamily&quot;:&quot;黑体&quot;,&quot;fontSize&quot;:&quot;14&quot;,&quot;show&quot;:false,&quot;text&quot;:&quot;数据来源：示例数据&quot;,&quot;topLineHeight&quot;:&quot;15&quot;,&quot;xPosition&quot;:&quot;left&quot;,&quot;yPosition&quot;:&quot;bottom&quot;},&quot;titleDisplay&quot;:{&quot;color&quot;:&quot;#4c4c4c&quot;,&quot;fontFamily&quot;:&quot;黑体&quot;,&quot;fontSize&quot;:&quot;36&quot;,&quot;lineHeight&quot;:&quot;10&quot;,&quot;show&quot;:false,&quot;text&quot;:&quot;中国网红受教育水平&quot;,&quot;totalHeight&quot;:&quot;39&quot;,&quot;xPosition&quot;:&quot;left&quot;,&quot;yPosition&quot;:&quot;top&quot;},&quot;tooltip&quot;:true,&quot;unitDisplay&quot;:{&quot;bottomLineHeight&quot;:&quot;15&quot;,&quot;color&quot;:&quot;#878787&quot;,&quot;fontFamily&quot;:&quot;黑体&quot;,&quot;fontSize&quot;:&quot;14&quot;,&quot;show&quot;:false,&quot;text&quot;:&quot;单位：%&quot;,&quot;xPosition&quot;:&quot;left&quot;,&quot;yPosition&quot;:&quot;top&quot;},&quot;watermarkDisplay&quot;:{&quot;imgHeight&quot;:&quot;80&quot;,&quot;imgUrl&quot;:&quot;https://ss1.dydata.io/newchartWatermark.png&quot;,&quot;imgWidth&quot;:&quot;80&quot;,&quot;show&quot;:false}},&quot;templateId&quot;:&quot;444746070325460997&quot;,&quot;templateSwitch&quot;:&quot;key-value&quot;,&quot;theme&quot;:{&quot;axis&quot;:{&quot;color&quot;:&quot;#a1a1a1&quot;},&quot;backgroundColor&quot;:&quot;#FFFFFF&quot;,&quot;colors&quot;:[&quot;#5AAEF3&quot;,&quot;#62D9AD&quot;,&quot;#5B6E96&quot;,&quot;#a8dffa&quot;,&quot;#ffdc4c&quot;,&quot;#FF974C&quot;,&quot;#E65A56&quot;,&quot;#6D61E4&quot;,&quot;#4A6FE2&quot;,&quot;#6D9AE7&quot;,&quot;#23C2DB&quot;,&quot;#D4EC59&quot;,&quot;#FFE88E&quot;,&quot;#FEB64D&quot;,&quot;#FB6E6C&quot;],&quot;fonts&quot;:{&quot;accessoryColor&quot;:&quot;#878787&quot;,&quot;color&quot;:&quot;#545454&quot;,&quot;fontFamily&quot;:&quot;黑体&quot;,&quot;fontSize&quot;:&quot;14&quot;},&quot;grid&quot;:{&quot;color&quot;:&quot;#ccc&quot;},&quot;name&quot;:&quot;默认主题&quot;,&quot;price&quot;:&quot;0.0&quot;,&quot;shapeColor&quot;:1,&quot;themeId&quot;:&quot;18&quot;,&quot;titleFont&quot;:{&quot;color&quot;:&quot;#4c4c4c&quot;,&quot;fontFamily&quot;:&quot;黑体&quot;,&quot;fontSize&quot;:&quot;36&quot;}},&quot;thumb&quot;:&quot;//web.docer.wpscdn.cn/docer/ds-page/v2/images/E8hjxBcbsDqAkMBMmTgoN2.D0C288B1.jpg?imageView2/2/w/500/quality/90&quot;,&quot;title&quot;:&quot;基础饼图&quot;,&quot;type&quot;:&quot;chart&quot;},&quot;dschart_id&quot;:&quot;444746070325460997&quot;,&quot;id&quot;:&quot;50&quot;}"/>
    <wpswe:property key="isUseCommonErrorPage" value="false"/>
    <wpswe:property key="loadingImage" value="res:/icons/WebChartLoading_wps.svg"/>
  </wpswe:properties>
  <wpswe:watchingCache>
    <wpswe:linkPath>C:/Users/Administrator/AppData/Local/Temp/wps.BfHdcA/Workbook3.xlsx</wpswe:linkPath>
  </wpswe:watchingCache>
  <wpswe:snapshot xmlns:r="http://schemas.openxmlformats.org/officeDocument/2006/relationships" r:embed="rId2"/>
  <wpswe:externalData xmlns:r="http://schemas.openxmlformats.org/officeDocument/2006/relationships" r:id="rId1"/>
  <wpswe:url>https://clientweb.docer.wps.cn//docer-ds/web-shape-1.0.0/?id=50&amp;dschart_id=444746070325460997&amp;from=writer&amp;productEntry=insert&amp;sceneEntry=rec-90</wpswe:url>
  <wpswe:constantSnapshot>false</wpswe:constantSnapshot>
</wpswe:webExtension>
</file>

<file path=word/webExtensions/webExtension4.xml><?xml version="1.0" encoding="utf-8"?>
<wpswe:webExtension xmlns:wpswe="http://www.wps.cn/officeDocument/2018/webExtension">
  <wpswe:extSource id="dschart" version="1.0"/>
  <wpswe:properties>
    <wpswe:property key="DiscardFirstCodeChange" value="0"/>
    <wpswe:property key="autoSnapshot" value="0"/>
    <wpswe:property key="dschart" value="{&quot;dschart_data&quot;:{&quot;blockId&quot;:&quot;161243067177900741&quot;,&quot;chart_type&quot;:&quot;线形图&quot;,&quot;classifty_type&quot;:[&quot;趋势类&quot;],&quot;dataSrc&quot;:{&quot;data&quot;:[[[&quot;年份&quot;,&quot;财政拨款总收入&quot;],[&quot;2021&quot;,&quot;1007.35&quot;],[&quot;2022&quot;,&quot;1011.3&quot;]]],&quot;dataType&quot;:&quot;cross-table&quot;,&quot;download&quot;:false,&quot;srcType&quot;:&quot;local&quot;,&quot;url&quot;:&quot;&quot;},&quot;function_type&quot;:[&quot;折线图&quot;],&quot;gif&quot;:&quot;//web.docer.wpscdn.cn/docer/ds-page/v2/images/4544734748594536433.gif?imageView2/2/w/500/quality/90&quot;,&quot;isFree&quot;:&quot;0&quot;,&quot;label&quot;:&quot;&lt;e-linemultiple-chart&gt;&quot;,&quot;projectId&quot;:&quot;4544734748594536433&quot;,&quot;props&quot;:{&quot;animation&quot;:{&quot;duration&quot;:&quot;1.8&quot;,&quot;easeStyle&quot;:&quot;&quot;,&quot;endPause&quot;:&quot;1&quot;,&quot;moveOptions&quot;:[&quot;依次绘制&quot;,&quot;同时绘制&quot;,&quot;穿针引线&quot;],&quot;moveStyle&quot;:&quot;依次绘制&quot;,&quot;startDelay&quot;:&quot;0&quot;,&quot;transition&quot;:true},&quot;axis&quot;:{&quot;grid&quot;:{&quot;color&quot;:&quot;#e9e9e9&quot;,&quot;gridLineWidth&quot;:&quot;1&quot;,&quot;lineStyle&quot;:&quot;dashline&quot;,&quot;show&quot;:&quot;x&quot;},&quot;x&quot;:{&quot;axisColor&quot;:&quot;#bfbfbf&quot;,&quot;axisLineWidth&quot;:&quot;1&quot;,&quot;axisShow&quot;:true,&quot;labelAngle&quot;:&quot;0&quot;,&quot;labelDirection&quot;:&quot;自动&quot;,&quot;labelDirectionOptions&quot;:[&quot;自动&quot;,&quot;横排&quot;,&quot;竖排&quot;],&quot;labelShow&quot;:true,&quot;name&quot;:&quot;&quot;},&quot;y&quot;:{&quot;axisColor&quot;:&quot;#bfbfbf&quot;,&quot;axisLineWidth&quot;:&quot;1&quot;,&quot;axisShow&quot;:false,&quot;labelShow&quot;:true,&quot;labelSuffix&quot;:&quot;&quot;,&quot;name&quot;:&quot;&quot;,&quot;range&quot;:[],&quot;stepOfLabel&quot;:&quot;&quot;}},&quot;backgroundColor&quot;:&quot;&quot;,&quot;colors&quot;:{&quot;colorControlers&quot;:[&quot;multiple&quot;],&quot;list&quot;:[0],&quot;type&quot;:&quot;multiple&quot;},&quot;display&quot;:{&quot;endPointBorderColor&quot;:&quot;#FFFFFF&quot;,&quot;endPointBorderWidth&quot;:&quot;1&quot;,&quot;endPointFillColor&quot;:&quot;&quot;,&quot;endPointRadius&quot;:&quot;3.5&quot;,&quot;lineWidth&quot;:&quot;2&quot;},&quot;font&quot;:{&quot;color&quot;:&quot;#545454&quot;,&quot;fontFamily&quot;:&quot;黑体&quot;,&quot;fontSize&quot;:&quot;14&quot;},&quot;label&quot;:{&quot;display&quot;:false,&quot;positionChoice&quot;:&quot;上面&quot;,&quot;positionOptions&quot;:[&quot;上面&quot;,&quot;下面&quot;],&quot;suffix&quot;:&quot;&quot;,&quot;textLabel&quot;:{&quot;color&quot;:&quot;#545454&quot;,&quot;fontFamily&quot;:&quot;黑体&quot;,&quot;fontSize&quot;:&quot;14&quot;}},&quot;legend&quot;:{&quot;color&quot;:[&quot;#545454&quot;],&quot;fontFamily&quot;:[&quot;黑体&quot;],&quot;fontSize&quot;:&quot;14&quot;,&quot;lineHeight&quot;:&quot;15&quot;,&quot;show&quot;:true,&quot;style&quot;:&quot;&quot;,&quot;styleOptions&quot;:[],&quot;xPosition&quot;:&quot;center&quot;,&quot;yPosition&quot;:&quot;bottom&quot;},&quot;logoDisplay&quot;:{&quot;bottomLineHeight&quot;:&quot;15&quot;,&quot;imgHeight&quot;:&quot;32&quot;,&quot;imgUrl&quot;:&quot;https://ss1.dydata.io/newchartLogo.png&quot;,&quot;show&quot;:true,&quot;topLineHeight&quot;:&quot;11&quot;},&quot;map&quot;:[[{&quot;allowType&quot;:[&quot;string&quot;],&quot;configurable&quot;:false,&quot;function&quot;:&quot;objCol&quot;,&quot;index&quot;:0,&quot;isLegend&quot;:false,&quot;name&quot;:&quot;对象&quot;},{&quot;allowType&quot;:[&quot;number&quot;],&quot;configurable&quot;:true,&quot;function&quot;:&quot;vCol&quot;,&quot;index&quot;:1,&quot;isLegend&quot;:false,&quot;name&quot;:&quot;数值列&quot;}]],&quot;numberFormat&quot;:{&quot;decimalPlaces&quot;:&quot;&quot;,&quot;style&quot;:&quot;1000.00&quot;},&quot;paddings&quot;:{&quot;bottom&quot;:&quot;33&quot;,&quot;chartBottom&quot;:&quot;5&quot;,&quot;left&quot;:&quot;24&quot;,&quot;right&quot;:&quot;24&quot;,&quot;top&quot;:&quot;24&quot;},&quot;publishDisplay&quot;:{&quot;color&quot;:&quot;#878787&quot;,&quot;fontFamily&quot;:&quot;黑体&quot;,&quot;fontSize&quot;:&quot;14&quot;,&quot;show&quot;:true,&quot;text&quot;:&quot;镝数出品&quot;},&quot;shadow&quot;:{&quot;display&quot;:false,&quot;shadowAngle&quot;:&quot;45&quot;,&quot;shadowBlur&quot;:&quot;5&quot;,&quot;shadowColor&quot;:&quot;#c6c6c6&quot;,&quot;shadowOpacity&quot;:&quot;100&quot;,&quot;shadowRadius&quot;:&quot;3&quot;},&quot;size&quot;:{&quot;height&quot;:300,&quot;ratio&quot;:&quot;&quot;,&quot;rotate&quot;:0,&quot;width&quot;:533},&quot;sourceDisplay&quot;:{&quot;color&quot;:&quot;#878787&quot;,&quot;fontFamily&quot;:&quot;黑体&quot;,&quot;fontSize&quot;:&quot;14&quot;,&quot;show&quot;:false,&quot;text&quot;:&quot;数据来源：示例数据&quot;,&quot;topLineHeight&quot;:&quot;15&quot;,&quot;xPosition&quot;:&quot;left&quot;,&quot;yPosition&quot;:&quot;bottom&quot;},&quot;titleDisplay&quot;:{&quot;color&quot;:&quot;#4c4c4c&quot;,&quot;fontFamily&quot;:&quot;黑体&quot;,&quot;fontSize&quot;:&quot;36&quot;,&quot;lineHeight&quot;:&quot;10&quot;,&quot;show&quot;:false,&quot;text&quot;:&quot;居民人均分项消费支出&quot;,&quot;totalHeight&quot;:&quot;39&quot;,&quot;xPosition&quot;:&quot;left&quot;,&quot;yPosition&quot;:&quot;top&quot;},&quot;tooltip&quot;:true,&quot;unitDisplay&quot;:{&quot;bottomLineHeight&quot;:&quot;15&quot;,&quot;color&quot;:&quot;#878787&quot;,&quot;fontFamily&quot;:&quot;黑体&quot;,&quot;fontSize&quot;:&quot;14&quot;,&quot;show&quot;:false,&quot;text&quot;:&quot;单位：元&quot;,&quot;xPosition&quot;:&quot;left&quot;,&quot;yPosition&quot;:&quot;top&quot;},&quot;watermarkDisplay&quot;:{&quot;imgHeight&quot;:&quot;80&quot;,&quot;imgUrl&quot;:&quot;https://ss1.dydata.io/newchartWatermark.png&quot;,&quot;imgWidth&quot;:&quot;80&quot;,&quot;show&quot;:false}},&quot;templateId&quot;:&quot;4544734748594536433&quot;,&quot;templateSwitch&quot;:&quot;cross&quot;,&quot;theme&quot;:{&quot;axis&quot;:{&quot;color&quot;:&quot;#a1a1a1&quot;},&quot;backgroundColor&quot;:&quot;#FFFFFF&quot;,&quot;colors&quot;:[&quot;#5AAEF3&quot;,&quot;#62D9AD&quot;,&quot;#5B6E96&quot;,&quot;#a8dffa&quot;,&quot;#ffdc4c&quot;,&quot;#FF974C&quot;,&quot;#E65A56&quot;,&quot;#6D61E4&quot;,&quot;#4A6FE2&quot;,&quot;#6D9AE7&quot;,&quot;#23C2DB&quot;,&quot;#D4EC59&quot;,&quot;#FFE88E&quot;,&quot;#FEB64D&quot;,&quot;#FB6E6C&quot;],&quot;fonts&quot;:{&quot;accessoryColor&quot;:&quot;#878787&quot;,&quot;color&quot;:&quot;#545454&quot;,&quot;fontFamily&quot;:&quot;黑体&quot;,&quot;fontSize&quot;:&quot;14&quot;},&quot;grid&quot;:{&quot;color&quot;:&quot;#ccc&quot;},&quot;name&quot;:&quot;默认主题&quot;,&quot;price&quot;:&quot;0.0&quot;,&quot;shapeColor&quot;:1,&quot;themeId&quot;:&quot;18&quot;,&quot;titleFont&quot;:{&quot;color&quot;:&quot;#4c4c4c&quot;,&quot;fontFamily&quot;:&quot;黑体&quot;,&quot;fontSize&quot;:&quot;36&quot;}},&quot;thumb&quot;:&quot;//web.docer.wpscdn.cn/docer/ds-page/v2/images/uXtwEwjXpvKhfKB7hy9nt.EC65D292.jpg?imageView2/2/w/500/quality/90&quot;,&quot;title&quot;:&quot;折线图&quot;,&quot;type&quot;:&quot;chart&quot;},&quot;dschart_id&quot;:&quot;4544734748594536433&quot;,&quot;id&quot;:&quot;47&quot;}"/>
    <wpswe:property key="isUseCommonErrorPage" value="false"/>
    <wpswe:property key="loadingImage" value="res:/icons/WebChartLoading_wps.svg"/>
  </wpswe:properties>
  <wpswe:watchingCache>
    <wpswe:linkPath>C:/Users/Administrator/AppData/Local/Temp/wps.FkJbqc/Workbook4.xlsx</wpswe:linkPath>
  </wpswe:watchingCache>
  <wpswe:snapshot xmlns:r="http://schemas.openxmlformats.org/officeDocument/2006/relationships" r:embed="rId2"/>
  <wpswe:externalData xmlns:r="http://schemas.openxmlformats.org/officeDocument/2006/relationships" r:id="rId1"/>
  <wpswe:url>https://clientweb.docer.wps.cn//docer-ds/web-shape-1.0.0/?id=47&amp;dschart_id=4544734748594536433&amp;from=writer&amp;productEntry=insert&amp;sceneEntry=rec-90</wpswe:url>
  <wpswe:constantSnapshot>false</wpswe:constantSnapshot>
</wps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17</Pages>
  <Words>4645</Words>
  <Characters>5116</Characters>
  <Lines>34</Lines>
  <Paragraphs>9</Paragraphs>
  <TotalTime>13</TotalTime>
  <ScaleCrop>false</ScaleCrop>
  <LinksUpToDate>false</LinksUpToDate>
  <CharactersWithSpaces>5240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2020-04-30T06:45:00Z</dcterms:created>
  <dc:creator>Administrator</dc:creator>
  <cp:lastModifiedBy>土豆苕粉丶</cp:lastModifiedBy>
  <cp:lastPrinted>2020-05-01T09:16:00Z</cp:lastPrinted>
  <dcterms:modified xsi:type="dcterms:W3CDTF">2024-08-15T23:52:58Z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30977C704C9B4778852A1345393BD8C5_13</vt:lpwstr>
  </property>
</Properties>
</file>