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0E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line="600" w:lineRule="exact"/>
        <w:jc w:val="center"/>
        <w:textAlignment w:val="auto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宋体" w:eastAsia="方正小标宋简体" w:cs="方正小标宋简体"/>
          <w:sz w:val="32"/>
          <w:szCs w:val="32"/>
          <w:lang w:val="en-US" w:eastAsia="zh-CN"/>
        </w:rPr>
        <w:t>广水市2023</w:t>
      </w:r>
      <w:r>
        <w:rPr>
          <w:rFonts w:hint="eastAsia" w:ascii="方正小标宋简体" w:hAnsi="宋体" w:eastAsia="方正小标宋简体" w:cs="方正小标宋简体"/>
          <w:sz w:val="32"/>
          <w:szCs w:val="32"/>
        </w:rPr>
        <w:t>年度部门整体绩效自评表</w:t>
      </w:r>
    </w:p>
    <w:p w14:paraId="7F598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p w14:paraId="26427318">
      <w:pPr>
        <w:widowControl/>
        <w:jc w:val="left"/>
        <w:rPr>
          <w:rFonts w:ascii="楷体_GB2312" w:hAnsi="黑体" w:eastAsia="楷体_GB2312"/>
          <w:kern w:val="0"/>
          <w:sz w:val="48"/>
          <w:szCs w:val="48"/>
        </w:rPr>
      </w:pPr>
      <w:r>
        <w:rPr>
          <w:rFonts w:hint="eastAsia" w:ascii="楷体_GB2312" w:eastAsia="楷体_GB2312"/>
          <w:sz w:val="26"/>
          <w:szCs w:val="28"/>
        </w:rPr>
        <w:t>填报日期：</w:t>
      </w:r>
      <w:r>
        <w:rPr>
          <w:rFonts w:hint="eastAsia" w:ascii="楷体_GB2312" w:hAnsi="仿宋" w:eastAsia="楷体_GB2312" w:cs="楷体_GB2312"/>
          <w:kern w:val="0"/>
          <w:sz w:val="28"/>
          <w:szCs w:val="28"/>
          <w:lang w:val="en-US" w:eastAsia="zh-CN"/>
        </w:rPr>
        <w:t>2024</w:t>
      </w:r>
      <w:r>
        <w:rPr>
          <w:rFonts w:hint="eastAsia" w:ascii="楷体_GB2312" w:eastAsia="楷体_GB2312"/>
          <w:sz w:val="26"/>
          <w:szCs w:val="28"/>
        </w:rPr>
        <w:t>年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>3</w:t>
      </w:r>
      <w:r>
        <w:rPr>
          <w:rFonts w:hint="eastAsia" w:ascii="楷体_GB2312" w:eastAsia="楷体_GB2312"/>
          <w:sz w:val="26"/>
          <w:szCs w:val="28"/>
        </w:rPr>
        <w:t>月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>25</w:t>
      </w:r>
      <w:r>
        <w:rPr>
          <w:rFonts w:hint="eastAsia" w:ascii="楷体_GB2312" w:eastAsia="楷体_GB2312"/>
          <w:sz w:val="26"/>
          <w:szCs w:val="28"/>
        </w:rPr>
        <w:t>日  单位：万元  单位领导审签（公章）：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022"/>
        <w:gridCol w:w="930"/>
        <w:gridCol w:w="210"/>
        <w:gridCol w:w="435"/>
        <w:gridCol w:w="1710"/>
        <w:gridCol w:w="455"/>
        <w:gridCol w:w="430"/>
        <w:gridCol w:w="575"/>
        <w:gridCol w:w="531"/>
      </w:tblGrid>
      <w:tr w14:paraId="21C2B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28" w:type="dxa"/>
            <w:gridSpan w:val="2"/>
            <w:vAlign w:val="center"/>
          </w:tcPr>
          <w:p w14:paraId="446B49F7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7420" w:type="dxa"/>
            <w:gridSpan w:val="10"/>
            <w:vAlign w:val="center"/>
          </w:tcPr>
          <w:p w14:paraId="2C007A2C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广水市</w:t>
            </w:r>
            <w:r>
              <w:rPr>
                <w:rFonts w:hint="eastAsia" w:ascii="仿宋_GB2312" w:hAnsi="宋体"/>
                <w:kern w:val="0"/>
                <w:sz w:val="21"/>
                <w:szCs w:val="21"/>
                <w:lang w:val="en-US" w:eastAsia="zh-CN"/>
              </w:rPr>
              <w:t>吴店</w:t>
            </w: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镇卫生院</w:t>
            </w:r>
          </w:p>
        </w:tc>
      </w:tr>
      <w:tr w14:paraId="64184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28" w:type="dxa"/>
            <w:gridSpan w:val="2"/>
            <w:vAlign w:val="center"/>
          </w:tcPr>
          <w:p w14:paraId="6123A0E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基本支出总额</w:t>
            </w:r>
          </w:p>
        </w:tc>
        <w:tc>
          <w:tcPr>
            <w:tcW w:w="3284" w:type="dxa"/>
            <w:gridSpan w:val="4"/>
            <w:vAlign w:val="center"/>
          </w:tcPr>
          <w:p w14:paraId="31B8EC0E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  <w:lang w:val="en-US" w:eastAsia="zh-CN"/>
              </w:rPr>
              <w:t>932.27</w:t>
            </w:r>
          </w:p>
        </w:tc>
        <w:tc>
          <w:tcPr>
            <w:tcW w:w="2600" w:type="dxa"/>
            <w:gridSpan w:val="3"/>
            <w:vAlign w:val="center"/>
          </w:tcPr>
          <w:p w14:paraId="066AD18E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项目支出总额</w:t>
            </w:r>
          </w:p>
        </w:tc>
        <w:tc>
          <w:tcPr>
            <w:tcW w:w="1536" w:type="dxa"/>
            <w:gridSpan w:val="3"/>
            <w:vAlign w:val="center"/>
          </w:tcPr>
          <w:p w14:paraId="39CD03A2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90AD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28" w:type="dxa"/>
            <w:gridSpan w:val="2"/>
            <w:vAlign w:val="center"/>
          </w:tcPr>
          <w:p w14:paraId="1D0C9C48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年度目标：</w:t>
            </w:r>
          </w:p>
        </w:tc>
        <w:tc>
          <w:tcPr>
            <w:tcW w:w="7420" w:type="dxa"/>
            <w:gridSpan w:val="10"/>
            <w:vAlign w:val="center"/>
          </w:tcPr>
          <w:p w14:paraId="52E8838D">
            <w:pPr>
              <w:widowControl/>
              <w:snapToGrid w:val="0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single"/>
                <w:lang w:eastAsia="zh-CN"/>
              </w:rPr>
              <w:t>满足人民群众就医需求，推动医院事业健康发展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 w14:paraId="58A87B73">
            <w:pPr>
              <w:widowControl/>
              <w:jc w:val="left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kern w:val="0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single"/>
                <w:lang w:val="en-US" w:eastAsia="zh-CN" w:bidi="ar-SA"/>
              </w:rPr>
              <w:t>保证医院高效运行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none"/>
                <w:lang w:val="en-US" w:eastAsia="zh-CN" w:bidi="ar-SA"/>
              </w:rPr>
              <w:t>。</w:t>
            </w:r>
          </w:p>
        </w:tc>
      </w:tr>
      <w:tr w14:paraId="7DF5B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28" w:type="dxa"/>
            <w:vMerge w:val="restart"/>
            <w:vAlign w:val="center"/>
          </w:tcPr>
          <w:p w14:paraId="5B2DDA4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年度绩效指标</w:t>
            </w:r>
          </w:p>
        </w:tc>
        <w:tc>
          <w:tcPr>
            <w:tcW w:w="700" w:type="dxa"/>
            <w:vAlign w:val="center"/>
          </w:tcPr>
          <w:p w14:paraId="319E1064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11E3AE28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022" w:type="dxa"/>
            <w:vAlign w:val="center"/>
          </w:tcPr>
          <w:p w14:paraId="72CB2377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930" w:type="dxa"/>
            <w:vAlign w:val="center"/>
          </w:tcPr>
          <w:p w14:paraId="774F2860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指标分类</w:t>
            </w:r>
          </w:p>
        </w:tc>
        <w:tc>
          <w:tcPr>
            <w:tcW w:w="645" w:type="dxa"/>
            <w:gridSpan w:val="2"/>
            <w:vAlign w:val="center"/>
          </w:tcPr>
          <w:p w14:paraId="0ABD8DD6">
            <w:pPr>
              <w:widowControl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权重分值</w:t>
            </w:r>
          </w:p>
        </w:tc>
        <w:tc>
          <w:tcPr>
            <w:tcW w:w="1710" w:type="dxa"/>
            <w:vAlign w:val="center"/>
          </w:tcPr>
          <w:p w14:paraId="15B24D0D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年初目标值（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>A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）</w:t>
            </w:r>
          </w:p>
        </w:tc>
        <w:tc>
          <w:tcPr>
            <w:tcW w:w="885" w:type="dxa"/>
            <w:gridSpan w:val="2"/>
            <w:vAlign w:val="center"/>
          </w:tcPr>
          <w:p w14:paraId="4F48B1DE"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实际完成值（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>B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）</w:t>
            </w:r>
          </w:p>
        </w:tc>
        <w:tc>
          <w:tcPr>
            <w:tcW w:w="575" w:type="dxa"/>
            <w:vAlign w:val="center"/>
          </w:tcPr>
          <w:p w14:paraId="620684B5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自评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分</w:t>
            </w:r>
          </w:p>
        </w:tc>
        <w:tc>
          <w:tcPr>
            <w:tcW w:w="531" w:type="dxa"/>
            <w:vAlign w:val="center"/>
          </w:tcPr>
          <w:p w14:paraId="124897AA">
            <w:pPr>
              <w:widowControl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复核分</w:t>
            </w:r>
          </w:p>
        </w:tc>
      </w:tr>
      <w:tr w14:paraId="6B71B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27CB4104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79CC70C4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运行</w:t>
            </w:r>
          </w:p>
          <w:p w14:paraId="3949EA8E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成本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8分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22" w:type="dxa"/>
            <w:vAlign w:val="center"/>
          </w:tcPr>
          <w:p w14:paraId="2620E362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公用经费控制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635954C7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公用经费控制率</w:t>
            </w:r>
          </w:p>
        </w:tc>
        <w:tc>
          <w:tcPr>
            <w:tcW w:w="930" w:type="dxa"/>
            <w:vAlign w:val="center"/>
          </w:tcPr>
          <w:p w14:paraId="21D3E2CD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54A156A2">
            <w:pPr>
              <w:widowControl/>
              <w:snapToGrid w:val="0"/>
              <w:jc w:val="center"/>
              <w:rPr>
                <w:rFonts w:hint="default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56EF09E1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≤98%</w:t>
            </w:r>
          </w:p>
        </w:tc>
        <w:tc>
          <w:tcPr>
            <w:tcW w:w="885" w:type="dxa"/>
            <w:gridSpan w:val="2"/>
            <w:vAlign w:val="center"/>
          </w:tcPr>
          <w:p w14:paraId="7459D6D7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575" w:type="dxa"/>
            <w:vAlign w:val="center"/>
          </w:tcPr>
          <w:p w14:paraId="2716153F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1" w:type="dxa"/>
            <w:vAlign w:val="center"/>
          </w:tcPr>
          <w:p w14:paraId="6875F42D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3E26B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0117F537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9772476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314D28BD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在职人员控制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18E42B01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在职人员控制率</w:t>
            </w:r>
          </w:p>
        </w:tc>
        <w:tc>
          <w:tcPr>
            <w:tcW w:w="930" w:type="dxa"/>
            <w:vAlign w:val="center"/>
          </w:tcPr>
          <w:p w14:paraId="65500941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28D62911">
            <w:pPr>
              <w:widowControl/>
              <w:snapToGrid w:val="0"/>
              <w:jc w:val="center"/>
              <w:rPr>
                <w:rFonts w:hint="default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734041DF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≤99%</w:t>
            </w:r>
          </w:p>
        </w:tc>
        <w:tc>
          <w:tcPr>
            <w:tcW w:w="885" w:type="dxa"/>
            <w:gridSpan w:val="2"/>
            <w:vAlign w:val="center"/>
          </w:tcPr>
          <w:p w14:paraId="017AFF22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val="en-US" w:eastAsia="zh-CN"/>
              </w:rPr>
              <w:t>99%</w:t>
            </w:r>
          </w:p>
        </w:tc>
        <w:tc>
          <w:tcPr>
            <w:tcW w:w="575" w:type="dxa"/>
            <w:vAlign w:val="center"/>
          </w:tcPr>
          <w:p w14:paraId="20E60029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1" w:type="dxa"/>
            <w:vAlign w:val="center"/>
          </w:tcPr>
          <w:p w14:paraId="31CDA4A9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026F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13E4DB59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F194562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vAlign w:val="center"/>
          </w:tcPr>
          <w:p w14:paraId="0AA4DDC4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项目支出成本控制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4分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1872EEA3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会议费控制率</w:t>
            </w:r>
          </w:p>
        </w:tc>
        <w:tc>
          <w:tcPr>
            <w:tcW w:w="930" w:type="dxa"/>
            <w:vAlign w:val="center"/>
          </w:tcPr>
          <w:p w14:paraId="7BD9EDF0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31E27619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626B8B46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885" w:type="dxa"/>
            <w:gridSpan w:val="2"/>
            <w:vAlign w:val="center"/>
          </w:tcPr>
          <w:p w14:paraId="3433275D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575" w:type="dxa"/>
            <w:vAlign w:val="center"/>
          </w:tcPr>
          <w:p w14:paraId="1FC1FF99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1" w:type="dxa"/>
            <w:vAlign w:val="center"/>
          </w:tcPr>
          <w:p w14:paraId="1EF2588C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0302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28" w:type="dxa"/>
            <w:vMerge w:val="continue"/>
            <w:vAlign w:val="center"/>
          </w:tcPr>
          <w:p w14:paraId="5F08C06A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E14B1B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4F06E599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2ED6023F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“三公经费”变动率</w:t>
            </w:r>
          </w:p>
        </w:tc>
        <w:tc>
          <w:tcPr>
            <w:tcW w:w="930" w:type="dxa"/>
            <w:vAlign w:val="center"/>
          </w:tcPr>
          <w:p w14:paraId="75830750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4904DEDB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566ECCF2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885" w:type="dxa"/>
            <w:gridSpan w:val="2"/>
            <w:vAlign w:val="center"/>
          </w:tcPr>
          <w:p w14:paraId="15C41813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575" w:type="dxa"/>
            <w:vAlign w:val="center"/>
          </w:tcPr>
          <w:p w14:paraId="3C1CEA67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5065C8CD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40D5F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3C13143C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884D995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3C6C35C6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477DE66A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项目支出成本控制</w:t>
            </w: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率</w:t>
            </w:r>
          </w:p>
        </w:tc>
        <w:tc>
          <w:tcPr>
            <w:tcW w:w="930" w:type="dxa"/>
            <w:vAlign w:val="center"/>
          </w:tcPr>
          <w:p w14:paraId="1AE91212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0911C3A1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7BCF1785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85" w:type="dxa"/>
            <w:gridSpan w:val="2"/>
            <w:vAlign w:val="center"/>
          </w:tcPr>
          <w:p w14:paraId="1BB578B0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val="en-US" w:eastAsia="zh-CN"/>
              </w:rPr>
              <w:t>99%</w:t>
            </w:r>
          </w:p>
        </w:tc>
        <w:tc>
          <w:tcPr>
            <w:tcW w:w="575" w:type="dxa"/>
            <w:vAlign w:val="center"/>
          </w:tcPr>
          <w:p w14:paraId="071D4F45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499A2506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0AD5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8" w:type="dxa"/>
            <w:vMerge w:val="continue"/>
            <w:vAlign w:val="center"/>
          </w:tcPr>
          <w:p w14:paraId="1BC9F762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889C556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管理效率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22分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22" w:type="dxa"/>
            <w:vMerge w:val="restart"/>
            <w:vAlign w:val="center"/>
          </w:tcPr>
          <w:p w14:paraId="22E65485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战略管理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6A690275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中长期规划相符性</w:t>
            </w:r>
          </w:p>
        </w:tc>
        <w:tc>
          <w:tcPr>
            <w:tcW w:w="930" w:type="dxa"/>
            <w:vAlign w:val="center"/>
          </w:tcPr>
          <w:p w14:paraId="0D6C408F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435C726F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020B9139">
            <w:pPr>
              <w:widowControl/>
              <w:snapToGrid w:val="0"/>
              <w:jc w:val="center"/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以病人为中心，以质量求生存，向管理要效益。</w:t>
            </w:r>
          </w:p>
        </w:tc>
        <w:tc>
          <w:tcPr>
            <w:tcW w:w="885" w:type="dxa"/>
            <w:gridSpan w:val="2"/>
            <w:vAlign w:val="center"/>
          </w:tcPr>
          <w:p w14:paraId="738BC35E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部分达到预期目标</w:t>
            </w:r>
          </w:p>
        </w:tc>
        <w:tc>
          <w:tcPr>
            <w:tcW w:w="575" w:type="dxa"/>
            <w:vAlign w:val="center"/>
          </w:tcPr>
          <w:p w14:paraId="1BCF2196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5CD4D620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09D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8" w:type="dxa"/>
            <w:vMerge w:val="continue"/>
            <w:vAlign w:val="center"/>
          </w:tcPr>
          <w:p w14:paraId="1D1420A9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457ADA9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79B39085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751A5BBA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工作计划健全性</w:t>
            </w:r>
          </w:p>
        </w:tc>
        <w:tc>
          <w:tcPr>
            <w:tcW w:w="930" w:type="dxa"/>
            <w:vAlign w:val="center"/>
          </w:tcPr>
          <w:p w14:paraId="257546AE">
            <w:pPr>
              <w:widowControl/>
              <w:snapToGrid w:val="0"/>
              <w:jc w:val="center"/>
              <w:rPr>
                <w:rFonts w:hint="default"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1D0F9AF9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5ABE66B4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统一思想，明确任务，结合医院工作实际，制定了</w:t>
            </w: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2023年工作计划。</w:t>
            </w:r>
          </w:p>
        </w:tc>
        <w:tc>
          <w:tcPr>
            <w:tcW w:w="885" w:type="dxa"/>
            <w:gridSpan w:val="2"/>
            <w:vAlign w:val="center"/>
          </w:tcPr>
          <w:p w14:paraId="2E936167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工作计划健全</w:t>
            </w:r>
          </w:p>
        </w:tc>
        <w:tc>
          <w:tcPr>
            <w:tcW w:w="575" w:type="dxa"/>
            <w:vAlign w:val="center"/>
          </w:tcPr>
          <w:p w14:paraId="542F2B8B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06914466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B7B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8" w:type="dxa"/>
            <w:vMerge w:val="continue"/>
            <w:vAlign w:val="center"/>
          </w:tcPr>
          <w:p w14:paraId="1E4A1485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3F330B1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vAlign w:val="center"/>
          </w:tcPr>
          <w:p w14:paraId="37F016CC">
            <w:pPr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预算编制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6AD1A18D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预算编制科学性</w:t>
            </w:r>
          </w:p>
        </w:tc>
        <w:tc>
          <w:tcPr>
            <w:tcW w:w="930" w:type="dxa"/>
            <w:vAlign w:val="center"/>
          </w:tcPr>
          <w:p w14:paraId="4B031869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7C30F28B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38C2F83F">
            <w:pPr>
              <w:widowControl/>
              <w:snapToGrid w:val="0"/>
              <w:jc w:val="center"/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做好预算编制前期准备，保证预算编制精细化，规范预算审批流程。</w:t>
            </w:r>
          </w:p>
        </w:tc>
        <w:tc>
          <w:tcPr>
            <w:tcW w:w="885" w:type="dxa"/>
            <w:gridSpan w:val="2"/>
            <w:vAlign w:val="center"/>
          </w:tcPr>
          <w:p w14:paraId="15C1AF34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预算编制规范</w:t>
            </w:r>
          </w:p>
        </w:tc>
        <w:tc>
          <w:tcPr>
            <w:tcW w:w="575" w:type="dxa"/>
            <w:vAlign w:val="center"/>
          </w:tcPr>
          <w:p w14:paraId="7B1858D5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1" w:type="dxa"/>
            <w:vAlign w:val="center"/>
          </w:tcPr>
          <w:p w14:paraId="110D1F6D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48C7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8" w:type="dxa"/>
            <w:vMerge w:val="continue"/>
            <w:vAlign w:val="center"/>
          </w:tcPr>
          <w:p w14:paraId="337F1E6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0EFE11E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3EFC7981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  <w:u w:val="single"/>
              </w:rPr>
            </w:pPr>
          </w:p>
        </w:tc>
        <w:tc>
          <w:tcPr>
            <w:tcW w:w="1022" w:type="dxa"/>
            <w:vAlign w:val="center"/>
          </w:tcPr>
          <w:p w14:paraId="4BE196EF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预算编制合理性</w:t>
            </w:r>
          </w:p>
        </w:tc>
        <w:tc>
          <w:tcPr>
            <w:tcW w:w="930" w:type="dxa"/>
            <w:vAlign w:val="center"/>
          </w:tcPr>
          <w:p w14:paraId="61FBC5CB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4237E1C2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3B8A137C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eastAsia="zh-CN"/>
              </w:rPr>
              <w:t>结合</w:t>
            </w:r>
            <w:r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eastAsia="zh-CN"/>
              </w:rPr>
              <w:t>医院的实际情况，正确编制医院预算</w:t>
            </w: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85" w:type="dxa"/>
            <w:gridSpan w:val="2"/>
            <w:vAlign w:val="center"/>
          </w:tcPr>
          <w:p w14:paraId="2D0B6FD5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执行医院预算合理性</w:t>
            </w:r>
          </w:p>
        </w:tc>
        <w:tc>
          <w:tcPr>
            <w:tcW w:w="575" w:type="dxa"/>
            <w:vAlign w:val="center"/>
          </w:tcPr>
          <w:p w14:paraId="483D8B0E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4446252F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F1A8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8" w:type="dxa"/>
            <w:vMerge w:val="continue"/>
            <w:vAlign w:val="center"/>
          </w:tcPr>
          <w:p w14:paraId="4EB50D9A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D40E08D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65305FE8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13DEC415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立项规范性</w:t>
            </w:r>
          </w:p>
        </w:tc>
        <w:tc>
          <w:tcPr>
            <w:tcW w:w="930" w:type="dxa"/>
            <w:vAlign w:val="center"/>
          </w:tcPr>
          <w:p w14:paraId="13AFB362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04B98EA5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022CFD7F">
            <w:pPr>
              <w:widowControl/>
              <w:snapToGrid w:val="0"/>
              <w:jc w:val="center"/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根据党和的有关方针、政策为依据。</w:t>
            </w:r>
          </w:p>
        </w:tc>
        <w:tc>
          <w:tcPr>
            <w:tcW w:w="885" w:type="dxa"/>
            <w:gridSpan w:val="2"/>
            <w:vAlign w:val="center"/>
          </w:tcPr>
          <w:p w14:paraId="6FC5F09E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立项规范</w:t>
            </w: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科学</w:t>
            </w:r>
          </w:p>
        </w:tc>
        <w:tc>
          <w:tcPr>
            <w:tcW w:w="575" w:type="dxa"/>
            <w:vAlign w:val="center"/>
          </w:tcPr>
          <w:p w14:paraId="4F20D55A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36D8CBF7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C65A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8" w:type="dxa"/>
            <w:vMerge w:val="continue"/>
            <w:vAlign w:val="center"/>
          </w:tcPr>
          <w:p w14:paraId="2851BC4A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F11C924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464018BC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5274E230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预算调整率</w:t>
            </w:r>
          </w:p>
        </w:tc>
        <w:tc>
          <w:tcPr>
            <w:tcW w:w="930" w:type="dxa"/>
            <w:vAlign w:val="center"/>
          </w:tcPr>
          <w:p w14:paraId="11F4E98D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150A0DBF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586BCCE0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10%</w:t>
            </w:r>
          </w:p>
        </w:tc>
        <w:tc>
          <w:tcPr>
            <w:tcW w:w="885" w:type="dxa"/>
            <w:gridSpan w:val="2"/>
            <w:vAlign w:val="center"/>
          </w:tcPr>
          <w:p w14:paraId="4B73B1A8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1.6%</w:t>
            </w:r>
          </w:p>
        </w:tc>
        <w:tc>
          <w:tcPr>
            <w:tcW w:w="575" w:type="dxa"/>
            <w:vAlign w:val="center"/>
          </w:tcPr>
          <w:p w14:paraId="13B6968F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1C1BADE0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0A000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8" w:type="dxa"/>
            <w:vMerge w:val="continue"/>
            <w:vAlign w:val="center"/>
          </w:tcPr>
          <w:p w14:paraId="26842DB6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94FB930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vAlign w:val="center"/>
          </w:tcPr>
          <w:p w14:paraId="17874D36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预算执行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5EDE1246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预算执行率</w:t>
            </w:r>
          </w:p>
        </w:tc>
        <w:tc>
          <w:tcPr>
            <w:tcW w:w="930" w:type="dxa"/>
            <w:vAlign w:val="center"/>
          </w:tcPr>
          <w:p w14:paraId="1E140C1A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79AF95A3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7D2A3167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85" w:type="dxa"/>
            <w:gridSpan w:val="2"/>
            <w:vAlign w:val="center"/>
          </w:tcPr>
          <w:p w14:paraId="4A4AD466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66%</w:t>
            </w:r>
          </w:p>
        </w:tc>
        <w:tc>
          <w:tcPr>
            <w:tcW w:w="575" w:type="dxa"/>
            <w:vAlign w:val="center"/>
          </w:tcPr>
          <w:p w14:paraId="39692A05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25DAA1F2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581E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8" w:type="dxa"/>
            <w:vMerge w:val="continue"/>
            <w:vAlign w:val="center"/>
          </w:tcPr>
          <w:p w14:paraId="0D243BB2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363FCB0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47A3E8DD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031492FB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结转结余率</w:t>
            </w:r>
          </w:p>
        </w:tc>
        <w:tc>
          <w:tcPr>
            <w:tcW w:w="930" w:type="dxa"/>
            <w:vAlign w:val="center"/>
          </w:tcPr>
          <w:p w14:paraId="228A27CD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1987E7A2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3B85D37F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85" w:type="dxa"/>
            <w:gridSpan w:val="2"/>
            <w:vAlign w:val="center"/>
          </w:tcPr>
          <w:p w14:paraId="5B35ABBA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34%</w:t>
            </w:r>
          </w:p>
        </w:tc>
        <w:tc>
          <w:tcPr>
            <w:tcW w:w="575" w:type="dxa"/>
            <w:vAlign w:val="center"/>
          </w:tcPr>
          <w:p w14:paraId="319B500F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6091118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60B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8" w:type="dxa"/>
            <w:vMerge w:val="continue"/>
            <w:vAlign w:val="center"/>
          </w:tcPr>
          <w:p w14:paraId="1A9B911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7334757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6C76C7C3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46D7B3F5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政府采购执行率</w:t>
            </w:r>
          </w:p>
        </w:tc>
        <w:tc>
          <w:tcPr>
            <w:tcW w:w="930" w:type="dxa"/>
            <w:vAlign w:val="center"/>
          </w:tcPr>
          <w:p w14:paraId="19780832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1AA81650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66AB628C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≤98%</w:t>
            </w:r>
          </w:p>
        </w:tc>
        <w:tc>
          <w:tcPr>
            <w:tcW w:w="885" w:type="dxa"/>
            <w:gridSpan w:val="2"/>
            <w:vAlign w:val="center"/>
          </w:tcPr>
          <w:p w14:paraId="18369C1E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5" w:type="dxa"/>
            <w:vAlign w:val="center"/>
          </w:tcPr>
          <w:p w14:paraId="43CC0511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625DE7FC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0ED22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8" w:type="dxa"/>
            <w:vMerge w:val="continue"/>
            <w:vAlign w:val="center"/>
          </w:tcPr>
          <w:p w14:paraId="05648A54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1EA5E51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0313EF54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6ED664C3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非税收入预算完成率</w:t>
            </w:r>
          </w:p>
        </w:tc>
        <w:tc>
          <w:tcPr>
            <w:tcW w:w="930" w:type="dxa"/>
            <w:vAlign w:val="center"/>
          </w:tcPr>
          <w:p w14:paraId="32EDF809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3A62D67B">
            <w:pPr>
              <w:widowControl/>
              <w:snapToGrid w:val="0"/>
              <w:jc w:val="center"/>
              <w:rPr>
                <w:rFonts w:hint="default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151CC1A6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85" w:type="dxa"/>
            <w:gridSpan w:val="2"/>
            <w:vAlign w:val="center"/>
          </w:tcPr>
          <w:p w14:paraId="52074E4D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5" w:type="dxa"/>
            <w:vAlign w:val="center"/>
          </w:tcPr>
          <w:p w14:paraId="1231D119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5B053A77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4634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7AE27EF2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FF92FE1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vAlign w:val="center"/>
          </w:tcPr>
          <w:p w14:paraId="780023E2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绩效管理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5A0994F0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事前绩效评估完成率</w:t>
            </w:r>
          </w:p>
        </w:tc>
        <w:tc>
          <w:tcPr>
            <w:tcW w:w="930" w:type="dxa"/>
            <w:vAlign w:val="center"/>
          </w:tcPr>
          <w:p w14:paraId="43D0F035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388EEF71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01036507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85" w:type="dxa"/>
            <w:gridSpan w:val="2"/>
            <w:vAlign w:val="center"/>
          </w:tcPr>
          <w:p w14:paraId="214B95DC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5" w:type="dxa"/>
            <w:vAlign w:val="center"/>
          </w:tcPr>
          <w:p w14:paraId="3941D476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67DF7B6F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8CC0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4D733246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2C55ED4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519F5B41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33C60242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绩效目标合理性</w:t>
            </w:r>
          </w:p>
        </w:tc>
        <w:tc>
          <w:tcPr>
            <w:tcW w:w="930" w:type="dxa"/>
            <w:vAlign w:val="center"/>
          </w:tcPr>
          <w:p w14:paraId="1D9E7643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451C46E4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4E83BFDC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eastAsia="zh-CN"/>
              </w:rPr>
              <w:t>以单位年度考核实施方案为依据,将</w:t>
            </w:r>
            <w:r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eastAsia="zh-CN"/>
              </w:rPr>
              <w:t>目标管理与部门考核相结合,层层分解目标,实现目标绩效设置,目标制定检查,汇报管理</w:t>
            </w: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85" w:type="dxa"/>
            <w:gridSpan w:val="2"/>
            <w:vAlign w:val="center"/>
          </w:tcPr>
          <w:p w14:paraId="53A71206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绩效目标合理性</w:t>
            </w:r>
          </w:p>
        </w:tc>
        <w:tc>
          <w:tcPr>
            <w:tcW w:w="575" w:type="dxa"/>
            <w:vAlign w:val="center"/>
          </w:tcPr>
          <w:p w14:paraId="016D23C6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441ACD21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7ADD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502153D1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EC5511D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2F84156C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6E961AD3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绩效监控开展率</w:t>
            </w:r>
          </w:p>
        </w:tc>
        <w:tc>
          <w:tcPr>
            <w:tcW w:w="930" w:type="dxa"/>
            <w:vAlign w:val="center"/>
          </w:tcPr>
          <w:p w14:paraId="34A6E1C5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22A63148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3A89F175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85" w:type="dxa"/>
            <w:gridSpan w:val="2"/>
            <w:vAlign w:val="center"/>
          </w:tcPr>
          <w:p w14:paraId="054113B4">
            <w:pPr>
              <w:widowControl/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5" w:type="dxa"/>
            <w:vAlign w:val="center"/>
          </w:tcPr>
          <w:p w14:paraId="5FAB8B55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1C434877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6E53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3517F321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9D0B3A8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52390960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1AF29104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绩效评价覆盖率</w:t>
            </w:r>
          </w:p>
        </w:tc>
        <w:tc>
          <w:tcPr>
            <w:tcW w:w="930" w:type="dxa"/>
            <w:vAlign w:val="center"/>
          </w:tcPr>
          <w:p w14:paraId="6BB66DF2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393D2FD9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1C7AB2F3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85" w:type="dxa"/>
            <w:gridSpan w:val="2"/>
            <w:vAlign w:val="center"/>
          </w:tcPr>
          <w:p w14:paraId="7C33E1AB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5" w:type="dxa"/>
            <w:vAlign w:val="center"/>
          </w:tcPr>
          <w:p w14:paraId="70B21EBD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792E62E2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F75D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633C4AD6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39ACB50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28646651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28223583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评价结果应用率</w:t>
            </w:r>
          </w:p>
        </w:tc>
        <w:tc>
          <w:tcPr>
            <w:tcW w:w="930" w:type="dxa"/>
            <w:vAlign w:val="center"/>
          </w:tcPr>
          <w:p w14:paraId="1165B92B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2284C4EA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00654BF7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85" w:type="dxa"/>
            <w:gridSpan w:val="2"/>
            <w:vAlign w:val="center"/>
          </w:tcPr>
          <w:p w14:paraId="6248D885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5" w:type="dxa"/>
            <w:vAlign w:val="center"/>
          </w:tcPr>
          <w:p w14:paraId="6695BFEB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60758D9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7B9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54EA9638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56DE51B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vAlign w:val="center"/>
          </w:tcPr>
          <w:p w14:paraId="614BF0DC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资产管理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57A89679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资产管理制度健全性</w:t>
            </w:r>
          </w:p>
        </w:tc>
        <w:tc>
          <w:tcPr>
            <w:tcW w:w="930" w:type="dxa"/>
            <w:vAlign w:val="center"/>
          </w:tcPr>
          <w:p w14:paraId="5A0152B0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0A046AD0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7C701AE5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建立健全资产管理及内部控制制度，实现规范化管理设立资产管理中心。</w:t>
            </w:r>
          </w:p>
        </w:tc>
        <w:tc>
          <w:tcPr>
            <w:tcW w:w="885" w:type="dxa"/>
            <w:gridSpan w:val="2"/>
            <w:vAlign w:val="center"/>
          </w:tcPr>
          <w:p w14:paraId="55A25FC9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健全资产管理制度</w:t>
            </w:r>
          </w:p>
        </w:tc>
        <w:tc>
          <w:tcPr>
            <w:tcW w:w="575" w:type="dxa"/>
            <w:vAlign w:val="center"/>
          </w:tcPr>
          <w:p w14:paraId="457ED1E6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4ADC47F5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195A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5B4FE223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1B7E763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38ACDDDF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54A5E8BF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资产管理规范性</w:t>
            </w:r>
          </w:p>
        </w:tc>
        <w:tc>
          <w:tcPr>
            <w:tcW w:w="930" w:type="dxa"/>
            <w:vAlign w:val="center"/>
          </w:tcPr>
          <w:p w14:paraId="19E6CDAB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79A89FF7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723BFFF0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建立健全资产管理及内部控制制度，实现规范化管理设立资产管理中心。</w:t>
            </w:r>
          </w:p>
        </w:tc>
        <w:tc>
          <w:tcPr>
            <w:tcW w:w="885" w:type="dxa"/>
            <w:gridSpan w:val="2"/>
            <w:vAlign w:val="center"/>
          </w:tcPr>
          <w:p w14:paraId="1F3F56E1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规范资产管理</w:t>
            </w:r>
          </w:p>
        </w:tc>
        <w:tc>
          <w:tcPr>
            <w:tcW w:w="575" w:type="dxa"/>
            <w:vAlign w:val="center"/>
          </w:tcPr>
          <w:p w14:paraId="7C7CE656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4C4CE074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CFAD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3521404C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431CB72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vAlign w:val="center"/>
          </w:tcPr>
          <w:p w14:paraId="6251B18C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财务管理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3分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14149F64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财务管理制度健全性</w:t>
            </w:r>
          </w:p>
        </w:tc>
        <w:tc>
          <w:tcPr>
            <w:tcW w:w="930" w:type="dxa"/>
            <w:vAlign w:val="center"/>
          </w:tcPr>
          <w:p w14:paraId="6C241395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3DA6FDF9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670E5152">
            <w:pPr>
              <w:widowControl/>
              <w:snapToGrid w:val="0"/>
              <w:jc w:val="center"/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根据《中华人民共和国会计法》、新《医院会计制度》、《医院财务制度》，结合本医院实际,制定本制度。</w:t>
            </w:r>
          </w:p>
        </w:tc>
        <w:tc>
          <w:tcPr>
            <w:tcW w:w="885" w:type="dxa"/>
            <w:gridSpan w:val="2"/>
            <w:vAlign w:val="center"/>
          </w:tcPr>
          <w:p w14:paraId="1F3FCECD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健全财务管理制度</w:t>
            </w:r>
          </w:p>
        </w:tc>
        <w:tc>
          <w:tcPr>
            <w:tcW w:w="575" w:type="dxa"/>
            <w:vAlign w:val="center"/>
          </w:tcPr>
          <w:p w14:paraId="4D829848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58F2E009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2E20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62C11F70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C2266DC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6DC0AFEA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336BA80C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会计核算规范性</w:t>
            </w:r>
          </w:p>
        </w:tc>
        <w:tc>
          <w:tcPr>
            <w:tcW w:w="930" w:type="dxa"/>
            <w:vAlign w:val="center"/>
          </w:tcPr>
          <w:p w14:paraId="663E0D93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4C2E8CE2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5A060790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根据《中华人民共和国会计法》、新《医院会计制度》、《医院财务制度》，结合本医院实际,制定本制度。</w:t>
            </w:r>
          </w:p>
        </w:tc>
        <w:tc>
          <w:tcPr>
            <w:tcW w:w="885" w:type="dxa"/>
            <w:gridSpan w:val="2"/>
            <w:vAlign w:val="center"/>
          </w:tcPr>
          <w:p w14:paraId="70A8ADBA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规范会计核算</w:t>
            </w:r>
          </w:p>
        </w:tc>
        <w:tc>
          <w:tcPr>
            <w:tcW w:w="575" w:type="dxa"/>
            <w:vAlign w:val="center"/>
          </w:tcPr>
          <w:p w14:paraId="52AAFF45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3AD4092A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45D0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3C142A9A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1D69EF6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18BF1AB5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54FE00D5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资金使用合规性</w:t>
            </w:r>
          </w:p>
        </w:tc>
        <w:tc>
          <w:tcPr>
            <w:tcW w:w="930" w:type="dxa"/>
            <w:vAlign w:val="center"/>
          </w:tcPr>
          <w:p w14:paraId="537A80BA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310CB065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330922EE">
            <w:pPr>
              <w:widowControl/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根据《中华人民共和国会计法》、新《医院会计制度》、《医院财务制度》，结合本医院实际,制定本制度。</w:t>
            </w:r>
          </w:p>
        </w:tc>
        <w:tc>
          <w:tcPr>
            <w:tcW w:w="885" w:type="dxa"/>
            <w:gridSpan w:val="2"/>
            <w:vAlign w:val="center"/>
          </w:tcPr>
          <w:p w14:paraId="495C32F4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合理使用资金</w:t>
            </w:r>
          </w:p>
        </w:tc>
        <w:tc>
          <w:tcPr>
            <w:tcW w:w="575" w:type="dxa"/>
            <w:vAlign w:val="center"/>
          </w:tcPr>
          <w:p w14:paraId="214E3B8E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5305671E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D6A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670323A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433E8B3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履职</w:t>
            </w:r>
          </w:p>
          <w:p w14:paraId="2A756566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效能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30分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22" w:type="dxa"/>
            <w:vAlign w:val="center"/>
          </w:tcPr>
          <w:p w14:paraId="6C9E4E4C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核心业务产出1</w:t>
            </w:r>
          </w:p>
        </w:tc>
        <w:tc>
          <w:tcPr>
            <w:tcW w:w="1022" w:type="dxa"/>
            <w:vAlign w:val="center"/>
          </w:tcPr>
          <w:p w14:paraId="79EEF111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none"/>
                <w:lang w:val="en-US" w:eastAsia="zh-CN" w:bidi="ar-SA"/>
              </w:rPr>
              <w:t>门诊诊疗人次</w:t>
            </w:r>
          </w:p>
        </w:tc>
        <w:tc>
          <w:tcPr>
            <w:tcW w:w="930" w:type="dxa"/>
            <w:vAlign w:val="center"/>
          </w:tcPr>
          <w:p w14:paraId="402195BF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44A52D9E">
            <w:pPr>
              <w:widowControl/>
              <w:snapToGrid w:val="0"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10" w:type="dxa"/>
            <w:vAlign w:val="center"/>
          </w:tcPr>
          <w:p w14:paraId="20861421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1056人次</w:t>
            </w:r>
          </w:p>
        </w:tc>
        <w:tc>
          <w:tcPr>
            <w:tcW w:w="885" w:type="dxa"/>
            <w:gridSpan w:val="2"/>
            <w:vAlign w:val="center"/>
          </w:tcPr>
          <w:p w14:paraId="628C3F99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仿宋_GB2312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31056人次</w:t>
            </w:r>
          </w:p>
        </w:tc>
        <w:tc>
          <w:tcPr>
            <w:tcW w:w="575" w:type="dxa"/>
            <w:vAlign w:val="center"/>
          </w:tcPr>
          <w:p w14:paraId="4127DCD9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31" w:type="dxa"/>
            <w:vAlign w:val="center"/>
          </w:tcPr>
          <w:p w14:paraId="2F85AA08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AA82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74A148AD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B865A04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141FD33D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核心业务产出2</w:t>
            </w:r>
          </w:p>
        </w:tc>
        <w:tc>
          <w:tcPr>
            <w:tcW w:w="1022" w:type="dxa"/>
            <w:vAlign w:val="center"/>
          </w:tcPr>
          <w:p w14:paraId="62BEB88B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none"/>
                <w:lang w:val="en-US" w:eastAsia="zh-CN" w:bidi="ar-SA"/>
              </w:rPr>
              <w:t>住院病人数</w:t>
            </w:r>
          </w:p>
        </w:tc>
        <w:tc>
          <w:tcPr>
            <w:tcW w:w="930" w:type="dxa"/>
            <w:vAlign w:val="center"/>
          </w:tcPr>
          <w:p w14:paraId="4A73B193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490152D7">
            <w:pPr>
              <w:widowControl/>
              <w:snapToGrid w:val="0"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10" w:type="dxa"/>
            <w:vAlign w:val="center"/>
          </w:tcPr>
          <w:p w14:paraId="2A29F62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≥2956人次</w:t>
            </w:r>
          </w:p>
        </w:tc>
        <w:tc>
          <w:tcPr>
            <w:tcW w:w="885" w:type="dxa"/>
            <w:gridSpan w:val="2"/>
            <w:vAlign w:val="center"/>
          </w:tcPr>
          <w:p w14:paraId="5BCC2A3D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仿宋_GB2312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2956人次</w:t>
            </w:r>
          </w:p>
        </w:tc>
        <w:tc>
          <w:tcPr>
            <w:tcW w:w="575" w:type="dxa"/>
            <w:vAlign w:val="center"/>
          </w:tcPr>
          <w:p w14:paraId="6697FD58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31" w:type="dxa"/>
            <w:vAlign w:val="center"/>
          </w:tcPr>
          <w:p w14:paraId="479B995C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43B2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60F2945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2611E4D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2E8BDA65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核心业务产出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22" w:type="dxa"/>
            <w:vAlign w:val="center"/>
          </w:tcPr>
          <w:p w14:paraId="5762E78B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none"/>
                <w:lang w:val="en-US" w:eastAsia="zh-CN" w:bidi="ar-SA"/>
              </w:rPr>
              <w:t>各项工作合格率</w:t>
            </w:r>
          </w:p>
        </w:tc>
        <w:tc>
          <w:tcPr>
            <w:tcW w:w="930" w:type="dxa"/>
            <w:vAlign w:val="center"/>
          </w:tcPr>
          <w:p w14:paraId="30A7B637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4A18419A">
            <w:pPr>
              <w:widowControl/>
              <w:snapToGrid w:val="0"/>
              <w:jc w:val="center"/>
              <w:rPr>
                <w:rFonts w:hint="default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10" w:type="dxa"/>
            <w:vAlign w:val="center"/>
          </w:tcPr>
          <w:p w14:paraId="19EDBCC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≥95%</w:t>
            </w:r>
          </w:p>
        </w:tc>
        <w:tc>
          <w:tcPr>
            <w:tcW w:w="885" w:type="dxa"/>
            <w:gridSpan w:val="2"/>
            <w:vAlign w:val="center"/>
          </w:tcPr>
          <w:p w14:paraId="062F60B8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96%</w:t>
            </w:r>
          </w:p>
        </w:tc>
        <w:tc>
          <w:tcPr>
            <w:tcW w:w="575" w:type="dxa"/>
            <w:vAlign w:val="center"/>
          </w:tcPr>
          <w:p w14:paraId="6EFAF801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31" w:type="dxa"/>
            <w:vAlign w:val="center"/>
          </w:tcPr>
          <w:p w14:paraId="37EBC79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44C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4FE4D88E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15F27AF1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社会</w:t>
            </w:r>
          </w:p>
          <w:p w14:paraId="248246E3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效应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30分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22" w:type="dxa"/>
            <w:vAlign w:val="center"/>
          </w:tcPr>
          <w:p w14:paraId="14DAF78B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经济效益</w:t>
            </w:r>
          </w:p>
        </w:tc>
        <w:tc>
          <w:tcPr>
            <w:tcW w:w="1022" w:type="dxa"/>
            <w:vAlign w:val="center"/>
          </w:tcPr>
          <w:p w14:paraId="0A040706">
            <w:pPr>
              <w:spacing w:line="300" w:lineRule="exact"/>
              <w:ind w:left="-160" w:leftChars="-50" w:right="-160" w:rightChars="-5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lang w:val="en-US" w:eastAsia="zh-CN"/>
              </w:rPr>
              <w:t>医疗业务收入</w:t>
            </w:r>
          </w:p>
        </w:tc>
        <w:tc>
          <w:tcPr>
            <w:tcW w:w="930" w:type="dxa"/>
            <w:vAlign w:val="center"/>
          </w:tcPr>
          <w:p w14:paraId="08A84A15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125C5AE0">
            <w:pPr>
              <w:widowControl/>
              <w:snapToGrid w:val="0"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710" w:type="dxa"/>
            <w:vAlign w:val="center"/>
          </w:tcPr>
          <w:p w14:paraId="7D204923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宋体" w:eastAsia="宋体"/>
                <w:kern w:val="0"/>
                <w:sz w:val="21"/>
                <w:szCs w:val="21"/>
                <w:lang w:val="en-US" w:eastAsia="zh-CN"/>
              </w:rPr>
              <w:t>25.51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885" w:type="dxa"/>
            <w:gridSpan w:val="2"/>
            <w:vAlign w:val="center"/>
          </w:tcPr>
          <w:p w14:paraId="1A3FCB73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宋体"/>
                <w:kern w:val="0"/>
                <w:sz w:val="21"/>
                <w:szCs w:val="21"/>
                <w:lang w:val="en-US" w:eastAsia="zh-CN"/>
              </w:rPr>
              <w:t>325.51</w:t>
            </w: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75" w:type="dxa"/>
            <w:vAlign w:val="center"/>
          </w:tcPr>
          <w:p w14:paraId="414625D7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31" w:type="dxa"/>
            <w:vAlign w:val="center"/>
          </w:tcPr>
          <w:p w14:paraId="5DB56030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490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57554C21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CAA7919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377F4FD1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社会效益</w:t>
            </w:r>
          </w:p>
        </w:tc>
        <w:tc>
          <w:tcPr>
            <w:tcW w:w="1022" w:type="dxa"/>
            <w:vAlign w:val="center"/>
          </w:tcPr>
          <w:p w14:paraId="7ECAB4C2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none"/>
                <w:lang w:val="en-US" w:eastAsia="zh-CN" w:bidi="ar-SA"/>
              </w:rPr>
              <w:t>保证医院高效运行</w:t>
            </w:r>
          </w:p>
        </w:tc>
        <w:tc>
          <w:tcPr>
            <w:tcW w:w="930" w:type="dxa"/>
            <w:vAlign w:val="center"/>
          </w:tcPr>
          <w:p w14:paraId="5EADBEBD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3E1ABBB8">
            <w:pPr>
              <w:widowControl/>
              <w:snapToGrid w:val="0"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710" w:type="dxa"/>
            <w:vAlign w:val="center"/>
          </w:tcPr>
          <w:p w14:paraId="0A1F9D28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保持</w:t>
            </w:r>
          </w:p>
        </w:tc>
        <w:tc>
          <w:tcPr>
            <w:tcW w:w="885" w:type="dxa"/>
            <w:gridSpan w:val="2"/>
            <w:vAlign w:val="center"/>
          </w:tcPr>
          <w:p w14:paraId="10AC8296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保证医院高效运行</w:t>
            </w:r>
          </w:p>
        </w:tc>
        <w:tc>
          <w:tcPr>
            <w:tcW w:w="575" w:type="dxa"/>
            <w:vAlign w:val="center"/>
          </w:tcPr>
          <w:p w14:paraId="554CFCED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31" w:type="dxa"/>
            <w:vAlign w:val="center"/>
          </w:tcPr>
          <w:p w14:paraId="2E460DA2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7FC00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287E60C9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7E318BA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5DFDC59E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生态效益</w:t>
            </w:r>
          </w:p>
        </w:tc>
        <w:tc>
          <w:tcPr>
            <w:tcW w:w="1022" w:type="dxa"/>
            <w:vAlign w:val="center"/>
          </w:tcPr>
          <w:p w14:paraId="503087AD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……</w:t>
            </w:r>
          </w:p>
        </w:tc>
        <w:tc>
          <w:tcPr>
            <w:tcW w:w="930" w:type="dxa"/>
            <w:vAlign w:val="center"/>
          </w:tcPr>
          <w:p w14:paraId="7E2C6AAB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6B2B437E">
            <w:pPr>
              <w:widowControl/>
              <w:snapToGrid w:val="0"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10" w:type="dxa"/>
            <w:vAlign w:val="center"/>
          </w:tcPr>
          <w:p w14:paraId="552B2557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4634F433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5" w:type="dxa"/>
            <w:vAlign w:val="center"/>
          </w:tcPr>
          <w:p w14:paraId="1CFE97FD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31" w:type="dxa"/>
            <w:vAlign w:val="center"/>
          </w:tcPr>
          <w:p w14:paraId="5365F229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0B2F6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2C83FC33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71CA986A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可持续发展能力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6分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  <w:p w14:paraId="01ED9D56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vAlign w:val="center"/>
          </w:tcPr>
          <w:p w14:paraId="2625D442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体制机制改革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66E4D904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服务体制改革成效</w:t>
            </w:r>
          </w:p>
        </w:tc>
        <w:tc>
          <w:tcPr>
            <w:tcW w:w="930" w:type="dxa"/>
            <w:vAlign w:val="center"/>
          </w:tcPr>
          <w:p w14:paraId="3ACEF0CB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124A8344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2A87437E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lang w:val="en-US" w:eastAsia="zh-CN"/>
              </w:rPr>
              <w:t>切实发挥医疗卫生服务网的作用，通过引进新技术、增加治疗手段和服务项目，提升医疗服务质量和运行效率，在回归医疗服务公益性、公平性和可行性方面效应彰显。</w:t>
            </w:r>
          </w:p>
        </w:tc>
        <w:tc>
          <w:tcPr>
            <w:tcW w:w="885" w:type="dxa"/>
            <w:gridSpan w:val="2"/>
            <w:vAlign w:val="center"/>
          </w:tcPr>
          <w:p w14:paraId="6598FD2F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服务体制改革成效显著</w:t>
            </w:r>
          </w:p>
        </w:tc>
        <w:tc>
          <w:tcPr>
            <w:tcW w:w="575" w:type="dxa"/>
            <w:vAlign w:val="center"/>
          </w:tcPr>
          <w:p w14:paraId="7AC42A88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077DFD96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458F3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5CD4193A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99C0D2C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25D8F34D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71120E5A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行政管理体制改革成效</w:t>
            </w:r>
          </w:p>
        </w:tc>
        <w:tc>
          <w:tcPr>
            <w:tcW w:w="930" w:type="dxa"/>
            <w:vAlign w:val="center"/>
          </w:tcPr>
          <w:p w14:paraId="36AD1634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37FEDD58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6BBC14AD">
            <w:pPr>
              <w:widowControl/>
              <w:snapToGrid w:val="0"/>
              <w:jc w:val="center"/>
              <w:rPr>
                <w:rFonts w:hint="eastAsia" w:ascii="仿宋_GB2312" w:hAnsi="宋体" w:eastAsia="宋体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lang w:val="en-US" w:eastAsia="zh-CN"/>
              </w:rPr>
              <w:t>1、建立公平高效的内部运行机制，调动医务人员积极性；2、建立灵活的人才引进培养机制，促进医院可持续发展；3、建立重点突出的能力提升机制，体现管理服务规范性；4健全财务运行机制，促进医院健康可持续发展。</w:t>
            </w:r>
          </w:p>
        </w:tc>
        <w:tc>
          <w:tcPr>
            <w:tcW w:w="885" w:type="dxa"/>
            <w:gridSpan w:val="2"/>
            <w:vAlign w:val="center"/>
          </w:tcPr>
          <w:p w14:paraId="682D5E48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行政管理体制改革成效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明显</w:t>
            </w:r>
          </w:p>
        </w:tc>
        <w:tc>
          <w:tcPr>
            <w:tcW w:w="575" w:type="dxa"/>
            <w:vAlign w:val="center"/>
          </w:tcPr>
          <w:p w14:paraId="0B993E4A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7521734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30316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0F6F1939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920D67B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vAlign w:val="center"/>
          </w:tcPr>
          <w:p w14:paraId="1F14FF2C">
            <w:pPr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人才支撑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675EF985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业务学习与培训完成率</w:t>
            </w:r>
          </w:p>
        </w:tc>
        <w:tc>
          <w:tcPr>
            <w:tcW w:w="930" w:type="dxa"/>
            <w:vAlign w:val="center"/>
          </w:tcPr>
          <w:p w14:paraId="2F74430E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30DDAAE8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5E065C35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85" w:type="dxa"/>
            <w:gridSpan w:val="2"/>
            <w:vAlign w:val="center"/>
          </w:tcPr>
          <w:p w14:paraId="69FF3E9C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5" w:type="dxa"/>
            <w:vAlign w:val="center"/>
          </w:tcPr>
          <w:p w14:paraId="2DCEEC0D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3C887C9F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5B06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5FDA89C0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6227995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4FD6D322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21FD312A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干部队伍体系建设规划情况</w:t>
            </w:r>
          </w:p>
        </w:tc>
        <w:tc>
          <w:tcPr>
            <w:tcW w:w="930" w:type="dxa"/>
            <w:vAlign w:val="center"/>
          </w:tcPr>
          <w:p w14:paraId="148E5DEB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4AEF3312">
            <w:pPr>
              <w:widowControl/>
              <w:snapToGrid w:val="0"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710" w:type="dxa"/>
            <w:vAlign w:val="center"/>
          </w:tcPr>
          <w:p w14:paraId="2955BC1B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lang w:val="en-US" w:eastAsia="zh-CN"/>
              </w:rPr>
              <w:t>科学合理的制度支撑干部队伍建设，人才储备规划符合本单位发展需求。</w:t>
            </w:r>
          </w:p>
        </w:tc>
        <w:tc>
          <w:tcPr>
            <w:tcW w:w="885" w:type="dxa"/>
            <w:gridSpan w:val="2"/>
            <w:vAlign w:val="center"/>
          </w:tcPr>
          <w:p w14:paraId="2B0653E8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干部队伍体系建设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合理</w:t>
            </w:r>
          </w:p>
        </w:tc>
        <w:tc>
          <w:tcPr>
            <w:tcW w:w="575" w:type="dxa"/>
            <w:vAlign w:val="center"/>
          </w:tcPr>
          <w:p w14:paraId="5C58EDBE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531" w:type="dxa"/>
            <w:vAlign w:val="center"/>
          </w:tcPr>
          <w:p w14:paraId="70774FA8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4AFF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581C0119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6E5541E">
            <w:pPr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2E6EF3A0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2D88648B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高学历、高层次人才储备率</w:t>
            </w:r>
          </w:p>
        </w:tc>
        <w:tc>
          <w:tcPr>
            <w:tcW w:w="930" w:type="dxa"/>
            <w:vAlign w:val="center"/>
          </w:tcPr>
          <w:p w14:paraId="08CAD658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00DCEE64">
            <w:pPr>
              <w:widowControl/>
              <w:snapToGrid w:val="0"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710" w:type="dxa"/>
            <w:vAlign w:val="center"/>
          </w:tcPr>
          <w:p w14:paraId="27512D37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10%</w:t>
            </w:r>
          </w:p>
        </w:tc>
        <w:tc>
          <w:tcPr>
            <w:tcW w:w="885" w:type="dxa"/>
            <w:gridSpan w:val="2"/>
            <w:vAlign w:val="center"/>
          </w:tcPr>
          <w:p w14:paraId="309484FA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0%</w:t>
            </w:r>
          </w:p>
        </w:tc>
        <w:tc>
          <w:tcPr>
            <w:tcW w:w="575" w:type="dxa"/>
            <w:vAlign w:val="center"/>
          </w:tcPr>
          <w:p w14:paraId="5A857DAA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531" w:type="dxa"/>
            <w:vAlign w:val="center"/>
          </w:tcPr>
          <w:p w14:paraId="5AC5C83D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73FD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53C87704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22CDD61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restart"/>
            <w:vAlign w:val="center"/>
          </w:tcPr>
          <w:p w14:paraId="34633F8E">
            <w:pPr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科技支撑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1B5AC18C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信息化建设情况</w:t>
            </w:r>
          </w:p>
        </w:tc>
        <w:tc>
          <w:tcPr>
            <w:tcW w:w="930" w:type="dxa"/>
            <w:vAlign w:val="center"/>
          </w:tcPr>
          <w:p w14:paraId="7B2459CA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013F6E90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0FEB8459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lang w:val="en-US" w:eastAsia="zh-CN"/>
              </w:rPr>
              <w:t>充分运用信息化手段提升工作效率及管理效能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885" w:type="dxa"/>
            <w:gridSpan w:val="2"/>
            <w:vAlign w:val="center"/>
          </w:tcPr>
          <w:p w14:paraId="5C020CC5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信息化建设完善</w:t>
            </w:r>
          </w:p>
        </w:tc>
        <w:tc>
          <w:tcPr>
            <w:tcW w:w="575" w:type="dxa"/>
            <w:vAlign w:val="center"/>
          </w:tcPr>
          <w:p w14:paraId="596B9355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1" w:type="dxa"/>
            <w:vAlign w:val="center"/>
          </w:tcPr>
          <w:p w14:paraId="47A8FA62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3C9E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598AB027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04B511A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4E384793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441F2231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……</w:t>
            </w:r>
          </w:p>
        </w:tc>
        <w:tc>
          <w:tcPr>
            <w:tcW w:w="930" w:type="dxa"/>
            <w:vAlign w:val="center"/>
          </w:tcPr>
          <w:p w14:paraId="1D67C39A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20F62E08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14:paraId="2D82E55B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35DE9FC2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75" w:type="dxa"/>
            <w:vAlign w:val="center"/>
          </w:tcPr>
          <w:p w14:paraId="309556E9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31" w:type="dxa"/>
            <w:vAlign w:val="center"/>
          </w:tcPr>
          <w:p w14:paraId="1AD86623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233F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407ECD8F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EA92B47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满意度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4分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22" w:type="dxa"/>
            <w:vAlign w:val="center"/>
          </w:tcPr>
          <w:p w14:paraId="53522188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服务对象满意度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7FB1D503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患者满意度</w:t>
            </w:r>
          </w:p>
        </w:tc>
        <w:tc>
          <w:tcPr>
            <w:tcW w:w="930" w:type="dxa"/>
            <w:vAlign w:val="center"/>
          </w:tcPr>
          <w:p w14:paraId="72A8F59D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38E124DC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3E6724B7">
            <w:pPr>
              <w:widowControl/>
              <w:snapToGrid w:val="0"/>
              <w:jc w:val="center"/>
              <w:rPr>
                <w:rFonts w:hint="default"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lang w:val="en-US" w:eastAsia="zh-CN"/>
              </w:rPr>
              <w:t>≥93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885" w:type="dxa"/>
            <w:gridSpan w:val="2"/>
            <w:vAlign w:val="center"/>
          </w:tcPr>
          <w:p w14:paraId="55178D23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93%</w:t>
            </w:r>
          </w:p>
        </w:tc>
        <w:tc>
          <w:tcPr>
            <w:tcW w:w="575" w:type="dxa"/>
            <w:vAlign w:val="center"/>
          </w:tcPr>
          <w:p w14:paraId="1454EC24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1" w:type="dxa"/>
            <w:vAlign w:val="center"/>
          </w:tcPr>
          <w:p w14:paraId="5732FDD8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96F9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Merge w:val="continue"/>
            <w:vAlign w:val="center"/>
          </w:tcPr>
          <w:p w14:paraId="3933FBD0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E0F823F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6973D575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联系部门满意度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2分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" w:type="dxa"/>
            <w:vAlign w:val="center"/>
          </w:tcPr>
          <w:p w14:paraId="59CB97AF">
            <w:pPr>
              <w:widowControl/>
              <w:snapToGrid w:val="0"/>
              <w:jc w:val="center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联系部门</w:t>
            </w:r>
          </w:p>
          <w:p w14:paraId="383625C0">
            <w:pPr>
              <w:widowControl/>
              <w:snapToGrid w:val="0"/>
              <w:jc w:val="center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满意度</w:t>
            </w:r>
          </w:p>
        </w:tc>
        <w:tc>
          <w:tcPr>
            <w:tcW w:w="930" w:type="dxa"/>
            <w:vAlign w:val="center"/>
          </w:tcPr>
          <w:p w14:paraId="6CBC036C">
            <w:pPr>
              <w:widowControl/>
              <w:snapToGrid w:val="0"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</w:rPr>
              <w:t>绩效基本型</w:t>
            </w:r>
          </w:p>
        </w:tc>
        <w:tc>
          <w:tcPr>
            <w:tcW w:w="645" w:type="dxa"/>
            <w:gridSpan w:val="2"/>
            <w:vAlign w:val="center"/>
          </w:tcPr>
          <w:p w14:paraId="730C6FE1">
            <w:pPr>
              <w:widowControl/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0A12CBCF">
            <w:pPr>
              <w:widowControl/>
              <w:snapToGrid w:val="0"/>
              <w:jc w:val="center"/>
              <w:rPr>
                <w:rFonts w:hint="default"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  <w:lang w:val="en-US" w:eastAsia="zh-CN"/>
              </w:rPr>
              <w:t>≥9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4%</w:t>
            </w:r>
          </w:p>
        </w:tc>
        <w:tc>
          <w:tcPr>
            <w:tcW w:w="885" w:type="dxa"/>
            <w:gridSpan w:val="2"/>
            <w:vAlign w:val="center"/>
          </w:tcPr>
          <w:p w14:paraId="776CE705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93%</w:t>
            </w:r>
          </w:p>
        </w:tc>
        <w:tc>
          <w:tcPr>
            <w:tcW w:w="575" w:type="dxa"/>
            <w:vAlign w:val="center"/>
          </w:tcPr>
          <w:p w14:paraId="098FE325"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1" w:type="dxa"/>
            <w:vAlign w:val="center"/>
          </w:tcPr>
          <w:p w14:paraId="29B688C1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089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8" w:type="dxa"/>
            <w:vAlign w:val="center"/>
          </w:tcPr>
          <w:p w14:paraId="08449103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自评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总分</w:t>
            </w:r>
          </w:p>
        </w:tc>
        <w:tc>
          <w:tcPr>
            <w:tcW w:w="8120" w:type="dxa"/>
            <w:gridSpan w:val="11"/>
            <w:vAlign w:val="center"/>
          </w:tcPr>
          <w:p w14:paraId="3A1D4310"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92分</w:t>
            </w:r>
          </w:p>
        </w:tc>
      </w:tr>
      <w:tr w14:paraId="1CC1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1528" w:type="dxa"/>
            <w:gridSpan w:val="2"/>
            <w:vAlign w:val="center"/>
          </w:tcPr>
          <w:p w14:paraId="78F571BC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偏差大或</w:t>
            </w:r>
          </w:p>
          <w:p w14:paraId="0A3F3C1F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目标未完成</w:t>
            </w:r>
          </w:p>
          <w:p w14:paraId="06EBA745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原因分析</w:t>
            </w:r>
          </w:p>
        </w:tc>
        <w:tc>
          <w:tcPr>
            <w:tcW w:w="7420" w:type="dxa"/>
            <w:gridSpan w:val="10"/>
            <w:vAlign w:val="center"/>
          </w:tcPr>
          <w:p w14:paraId="5C4F31C1">
            <w:pPr>
              <w:widowControl/>
              <w:ind w:left="-1600" w:leftChars="-500" w:firstLine="0" w:firstLineChars="0"/>
              <w:jc w:val="left"/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eastAsia="zh-CN"/>
              </w:rPr>
              <w:t>结转结余率未完成的原因为：医院整体搬迁项目分多个年度，所以该项目资金随着工程进度而支付。</w:t>
            </w:r>
          </w:p>
        </w:tc>
      </w:tr>
      <w:tr w14:paraId="6C2B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528" w:type="dxa"/>
            <w:gridSpan w:val="2"/>
            <w:vAlign w:val="center"/>
          </w:tcPr>
          <w:p w14:paraId="05873CA7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改进措施及</w:t>
            </w:r>
          </w:p>
          <w:p w14:paraId="594CE56D">
            <w:pPr>
              <w:widowControl/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结果应用方案</w:t>
            </w:r>
          </w:p>
        </w:tc>
        <w:tc>
          <w:tcPr>
            <w:tcW w:w="7420" w:type="dxa"/>
            <w:gridSpan w:val="10"/>
            <w:vAlign w:val="center"/>
          </w:tcPr>
          <w:p w14:paraId="0B321165">
            <w:pPr>
              <w:widowControl/>
              <w:jc w:val="left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应提高预算管理意识、强化执行和监督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以及优化财务管理和信息化建设等，以实现医院财务的合理规划、服务效率的提升和经济效益的改善。</w:t>
            </w:r>
          </w:p>
        </w:tc>
      </w:tr>
    </w:tbl>
    <w:p w14:paraId="5C1EB936">
      <w:pPr>
        <w:rPr>
          <w:vanish/>
          <w:sz w:val="21"/>
          <w:szCs w:val="21"/>
        </w:rPr>
      </w:pPr>
    </w:p>
    <w:tbl>
      <w:tblPr>
        <w:tblStyle w:val="3"/>
        <w:tblpPr w:leftFromText="180" w:rightFromText="180" w:vertAnchor="text" w:tblpX="16136" w:tblpY="-22258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4C69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" w:type="dxa"/>
            <w:vAlign w:val="top"/>
          </w:tcPr>
          <w:p w14:paraId="14C19800">
            <w:pPr>
              <w:widowControl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</w:tr>
      <w:tr w14:paraId="2EC7A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" w:type="dxa"/>
            <w:vAlign w:val="top"/>
          </w:tcPr>
          <w:p w14:paraId="39236B90">
            <w:pPr>
              <w:widowControl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</w:tr>
      <w:tr w14:paraId="2EBD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" w:type="dxa"/>
            <w:vAlign w:val="top"/>
          </w:tcPr>
          <w:p w14:paraId="3EA66730">
            <w:pPr>
              <w:widowControl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</w:tr>
      <w:tr w14:paraId="0E81A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" w:type="dxa"/>
            <w:vAlign w:val="top"/>
          </w:tcPr>
          <w:p w14:paraId="20321A9A">
            <w:pPr>
              <w:widowControl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</w:tr>
      <w:tr w14:paraId="74846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" w:type="dxa"/>
            <w:vAlign w:val="top"/>
          </w:tcPr>
          <w:p w14:paraId="69BB06FB">
            <w:pPr>
              <w:widowControl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</w:tr>
      <w:tr w14:paraId="1704A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" w:type="dxa"/>
            <w:vAlign w:val="top"/>
          </w:tcPr>
          <w:p w14:paraId="078784FC">
            <w:pPr>
              <w:widowControl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</w:tr>
      <w:tr w14:paraId="65F10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" w:type="dxa"/>
            <w:vAlign w:val="top"/>
          </w:tcPr>
          <w:p w14:paraId="0D6DB4F3">
            <w:pPr>
              <w:widowControl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</w:tr>
      <w:tr w14:paraId="10678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" w:type="dxa"/>
            <w:vAlign w:val="top"/>
          </w:tcPr>
          <w:p w14:paraId="2BFC0B02">
            <w:pPr>
              <w:widowControl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</w:tr>
      <w:tr w14:paraId="29B9D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" w:type="dxa"/>
            <w:vAlign w:val="top"/>
          </w:tcPr>
          <w:p w14:paraId="0776DAEF">
            <w:pPr>
              <w:widowControl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</w:tr>
      <w:tr w14:paraId="5D3D6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" w:type="dxa"/>
            <w:vAlign w:val="top"/>
          </w:tcPr>
          <w:p w14:paraId="40ED5A24">
            <w:pPr>
              <w:widowControl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</w:tr>
    </w:tbl>
    <w:p w14:paraId="582B232C">
      <w:pPr>
        <w:widowControl/>
        <w:rPr>
          <w:rFonts w:ascii="仿宋_GB2312" w:hAnsi="宋体" w:eastAsia="仿宋_GB2312"/>
          <w:kern w:val="0"/>
          <w:sz w:val="22"/>
          <w:szCs w:val="22"/>
        </w:rPr>
      </w:pPr>
      <w:r>
        <w:rPr>
          <w:rFonts w:hint="eastAsia" w:ascii="仿宋_GB2312" w:hAnsi="宋体" w:eastAsia="仿宋_GB2312" w:cs="仿宋_GB2312"/>
          <w:kern w:val="0"/>
          <w:sz w:val="21"/>
          <w:szCs w:val="21"/>
          <w:lang w:eastAsia="zh-CN"/>
        </w:rPr>
        <w:t>说明</w:t>
      </w:r>
      <w:r>
        <w:rPr>
          <w:rFonts w:hint="eastAsia" w:ascii="仿宋_GB2312" w:hAnsi="宋体" w:eastAsia="仿宋_GB2312" w:cs="仿宋_GB2312"/>
          <w:kern w:val="0"/>
          <w:sz w:val="21"/>
          <w:szCs w:val="21"/>
        </w:rPr>
        <w:t>：</w:t>
      </w:r>
    </w:p>
    <w:p w14:paraId="20EBDCDE">
      <w:pPr>
        <w:widowControl/>
        <w:numPr>
          <w:ilvl w:val="0"/>
          <w:numId w:val="1"/>
        </w:numPr>
        <w:ind w:firstLine="440" w:firstLineChars="200"/>
        <w:rPr>
          <w:rFonts w:hint="eastAsia" w:ascii="仿宋_GB2312" w:hAnsi="仿宋_GB2312" w:eastAsia="仿宋_GB2312" w:cs="仿宋_GB2312"/>
          <w:sz w:val="2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权重</w:t>
      </w:r>
      <w:r>
        <w:rPr>
          <w:rFonts w:hint="eastAsia" w:ascii="仿宋_GB2312" w:hAnsi="仿宋_GB2312" w:eastAsia="仿宋_GB2312" w:cs="仿宋_GB2312"/>
          <w:sz w:val="22"/>
          <w:szCs w:val="22"/>
        </w:rPr>
        <w:t>分值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的确定，根据重要性原则进行赋分，所赋分值不得避重就轻。</w:t>
      </w:r>
    </w:p>
    <w:p w14:paraId="123AB6B0">
      <w:pPr>
        <w:widowControl/>
        <w:numPr>
          <w:ilvl w:val="0"/>
          <w:numId w:val="1"/>
        </w:numPr>
        <w:ind w:firstLine="440" w:firstLineChars="200"/>
        <w:rPr>
          <w:rFonts w:ascii="仿宋_GB2312" w:hAnsi="宋体" w:eastAsia="仿宋_GB2312" w:cs="仿宋_GB2312"/>
          <w:kern w:val="0"/>
          <w:sz w:val="22"/>
          <w:szCs w:val="22"/>
        </w:rPr>
      </w:pPr>
      <w:r>
        <w:rPr>
          <w:rFonts w:hint="eastAsia" w:ascii="仿宋_GB2312" w:hAnsi="宋体" w:eastAsia="仿宋_GB2312" w:cs="仿宋_GB2312"/>
          <w:kern w:val="0"/>
          <w:sz w:val="22"/>
          <w:szCs w:val="22"/>
        </w:rPr>
        <w:t>除《广水市预算部门整体绩效评价共性指标体系参考框架》“评价要点”一栏中明确规定得分计算方式的指标外，其余指标按以下原则计算得分：</w:t>
      </w:r>
    </w:p>
    <w:p w14:paraId="618CA7B1">
      <w:pPr>
        <w:widowControl/>
        <w:ind w:firstLine="440" w:firstLineChars="200"/>
        <w:rPr>
          <w:rFonts w:ascii="仿宋_GB2312" w:hAnsi="宋体" w:eastAsia="仿宋_GB2312"/>
          <w:kern w:val="0"/>
          <w:sz w:val="22"/>
          <w:szCs w:val="22"/>
        </w:rPr>
      </w:pPr>
      <w:r>
        <w:rPr>
          <w:rFonts w:hint="eastAsia" w:ascii="仿宋_GB2312" w:hAnsi="宋体" w:eastAsia="仿宋_GB2312" w:cs="仿宋_GB2312"/>
          <w:kern w:val="0"/>
          <w:sz w:val="22"/>
          <w:szCs w:val="22"/>
        </w:rPr>
        <w:sym w:font="Wingdings" w:char="F081"/>
      </w:r>
      <w:r>
        <w:rPr>
          <w:rFonts w:hint="eastAsia" w:ascii="仿宋_GB2312" w:hAnsi="宋体" w:eastAsia="仿宋_GB2312" w:cs="仿宋_GB2312"/>
          <w:kern w:val="0"/>
          <w:sz w:val="22"/>
          <w:szCs w:val="22"/>
        </w:rPr>
        <w:t>定量指标：正向指标（即目标值为≥</w:t>
      </w:r>
      <w:r>
        <w:rPr>
          <w:rFonts w:ascii="仿宋_GB2312" w:hAnsi="宋体" w:eastAsia="仿宋_GB2312" w:cs="仿宋_GB2312"/>
          <w:kern w:val="0"/>
          <w:sz w:val="22"/>
          <w:szCs w:val="22"/>
        </w:rPr>
        <w:t>X,</w:t>
      </w:r>
      <w:r>
        <w:rPr>
          <w:rFonts w:hint="eastAsia" w:ascii="仿宋_GB2312" w:hAnsi="宋体" w:eastAsia="仿宋_GB2312" w:cs="仿宋_GB2312"/>
          <w:kern w:val="0"/>
          <w:sz w:val="22"/>
          <w:szCs w:val="22"/>
        </w:rPr>
        <w:t>得分</w:t>
      </w:r>
      <w:r>
        <w:rPr>
          <w:rFonts w:ascii="仿宋_GB2312" w:hAnsi="宋体" w:eastAsia="仿宋_GB2312" w:cs="仿宋_GB2312"/>
          <w:kern w:val="0"/>
          <w:sz w:val="22"/>
          <w:szCs w:val="22"/>
        </w:rPr>
        <w:t>=</w:t>
      </w:r>
      <w:r>
        <w:rPr>
          <w:rFonts w:hint="eastAsia" w:ascii="仿宋_GB2312" w:hAnsi="宋体" w:eastAsia="仿宋_GB2312" w:cs="仿宋_GB2312"/>
          <w:kern w:val="0"/>
          <w:sz w:val="22"/>
          <w:szCs w:val="22"/>
        </w:rPr>
        <w:t>权重</w:t>
      </w:r>
      <w:r>
        <w:rPr>
          <w:rFonts w:ascii="仿宋_GB2312" w:hAnsi="宋体" w:eastAsia="仿宋_GB2312" w:cs="仿宋_GB2312"/>
          <w:kern w:val="0"/>
          <w:sz w:val="22"/>
          <w:szCs w:val="22"/>
        </w:rPr>
        <w:t>*B/A</w:t>
      </w:r>
      <w:r>
        <w:rPr>
          <w:rFonts w:hint="eastAsia" w:ascii="仿宋_GB2312" w:hAnsi="宋体" w:eastAsia="仿宋_GB2312" w:cs="仿宋_GB2312"/>
          <w:kern w:val="0"/>
          <w:sz w:val="22"/>
          <w:szCs w:val="22"/>
        </w:rPr>
        <w:t>），反向指标（即目标值为≤</w:t>
      </w:r>
      <w:r>
        <w:rPr>
          <w:rFonts w:ascii="仿宋_GB2312" w:hAnsi="宋体" w:eastAsia="仿宋_GB2312" w:cs="仿宋_GB2312"/>
          <w:kern w:val="0"/>
          <w:sz w:val="22"/>
          <w:szCs w:val="22"/>
        </w:rPr>
        <w:t>X</w:t>
      </w:r>
      <w:r>
        <w:rPr>
          <w:rFonts w:hint="eastAsia" w:ascii="仿宋_GB2312" w:hAnsi="宋体" w:eastAsia="仿宋_GB2312" w:cs="仿宋_GB2312"/>
          <w:kern w:val="0"/>
          <w:sz w:val="22"/>
          <w:szCs w:val="22"/>
        </w:rPr>
        <w:t>，得分</w:t>
      </w:r>
      <w:r>
        <w:rPr>
          <w:rFonts w:ascii="仿宋_GB2312" w:hAnsi="宋体" w:eastAsia="仿宋_GB2312" w:cs="仿宋_GB2312"/>
          <w:kern w:val="0"/>
          <w:sz w:val="22"/>
          <w:szCs w:val="22"/>
        </w:rPr>
        <w:t>=</w:t>
      </w:r>
      <w:r>
        <w:rPr>
          <w:rFonts w:hint="eastAsia" w:ascii="仿宋_GB2312" w:hAnsi="宋体" w:eastAsia="仿宋_GB2312" w:cs="仿宋_GB2312"/>
          <w:kern w:val="0"/>
          <w:sz w:val="22"/>
          <w:szCs w:val="22"/>
        </w:rPr>
        <w:t>权重</w:t>
      </w:r>
      <w:r>
        <w:rPr>
          <w:rFonts w:ascii="仿宋_GB2312" w:hAnsi="宋体" w:eastAsia="仿宋_GB2312" w:cs="仿宋_GB2312"/>
          <w:kern w:val="0"/>
          <w:sz w:val="22"/>
          <w:szCs w:val="22"/>
        </w:rPr>
        <w:t>*A/B）</w:t>
      </w:r>
      <w:r>
        <w:rPr>
          <w:rFonts w:hint="eastAsia" w:ascii="仿宋_GB2312" w:hAnsi="宋体" w:eastAsia="仿宋_GB2312" w:cs="仿宋_GB2312"/>
          <w:kern w:val="0"/>
          <w:sz w:val="22"/>
          <w:szCs w:val="22"/>
        </w:rPr>
        <w:t>，得分不得突破权重总额。</w:t>
      </w:r>
    </w:p>
    <w:p w14:paraId="041797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62459D"/>
    <w:multiLevelType w:val="singleLevel"/>
    <w:tmpl w:val="0862459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OGIzZWFmYmEwZjRlZTE1NmRlMGM4N2MwNTY3NWMifQ=="/>
  </w:docVars>
  <w:rsids>
    <w:rsidRoot w:val="53D01364"/>
    <w:rsid w:val="38BC0498"/>
    <w:rsid w:val="3AA4643C"/>
    <w:rsid w:val="53D0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720"/>
    </w:pPr>
    <w:rPr>
      <w:rFonts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2011</Words>
  <Characters>2163</Characters>
  <Lines>0</Lines>
  <Paragraphs>0</Paragraphs>
  <TotalTime>2</TotalTime>
  <ScaleCrop>false</ScaleCrop>
  <LinksUpToDate>false</LinksUpToDate>
  <CharactersWithSpaces>2169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2024-10-14T08:19:00Z</dcterms:created>
  <dc:creator>Administrator</dc:creator>
  <cp:lastModifiedBy>ゾ陌上花丨开</cp:lastModifiedBy>
  <dcterms:modified xsi:type="dcterms:W3CDTF">2025-09-18T07:32:24Z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8D460B5B2F884F0B9DE80C0087E2F50A_13</vt:lpwstr>
  </property>
  <property fmtid="{D5CDD505-2E9C-101B-9397-08002B2CF9AE}" pid="4" name="KSOTemplateDocerSaveRecord">
    <vt:lpwstr>eyJoZGlkIjoiNzMwOGIzZWFmYmEwZjRlZTE1NmRlMGM4N2MwNTY3NWMiLCJ1c2VySWQiOiIxMjM5Njg4MTIwIn0=</vt:lpwstr>
  </property>
</Properties>
</file>