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line="315" w:lineRule="atLeast"/>
        <w:ind w:left="0" w:firstLine="5140" w:firstLineChars="1600"/>
        <w:jc w:val="left"/>
        <w:rPr>
          <w:rFonts w:hint="eastAsia" w:ascii="仿宋_GB2312" w:hAnsi="仿宋_GB2312" w:eastAsia="仿宋_GB2312" w:cs="仿宋_GB2312"/>
          <w:b/>
          <w:bCs/>
          <w:i w:val="0"/>
          <w:iCs w:val="0"/>
          <w:caps w:val="0"/>
          <w:color w:val="000000"/>
          <w:spacing w:val="0"/>
          <w:sz w:val="32"/>
          <w:szCs w:val="32"/>
        </w:rPr>
      </w:pPr>
      <w:r>
        <w:rPr>
          <w:rFonts w:hint="eastAsia" w:ascii="仿宋_GB2312" w:hAnsi="仿宋_GB2312" w:eastAsia="仿宋_GB2312" w:cs="仿宋_GB2312"/>
          <w:b/>
          <w:bCs/>
          <w:i w:val="0"/>
          <w:iCs w:val="0"/>
          <w:caps w:val="0"/>
          <w:color w:val="000000"/>
          <w:spacing w:val="0"/>
          <w:sz w:val="32"/>
          <w:szCs w:val="32"/>
        </w:rPr>
        <w:t>广政发〔2022〕3号</w:t>
      </w:r>
    </w:p>
    <w:p>
      <w:pPr>
        <w:pStyle w:val="2"/>
        <w:keepNext w:val="0"/>
        <w:keepLines w:val="0"/>
        <w:widowControl/>
        <w:suppressLineNumbers w:val="0"/>
        <w:spacing w:before="0" w:beforeAutospacing="0" w:line="315" w:lineRule="atLeast"/>
        <w:jc w:val="left"/>
        <w:rPr>
          <w:rFonts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各镇人民政府，各街道办事处，开发区管委会，市直各部门：</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现将《关于进一步加快重大项目建设扩大有效投资工作方案》印发给你们，请结合实际，认真组织实施。</w:t>
      </w:r>
    </w:p>
    <w:p>
      <w:pPr>
        <w:pStyle w:val="2"/>
        <w:keepNext w:val="0"/>
        <w:keepLines w:val="0"/>
        <w:widowControl/>
        <w:suppressLineNumbers w:val="0"/>
        <w:spacing w:line="315" w:lineRule="atLeast"/>
        <w:ind w:left="0" w:firstLine="420"/>
        <w:jc w:val="right"/>
        <w:rPr>
          <w:rFonts w:hint="default" w:ascii="sans-serif" w:hAnsi="sans-serif" w:eastAsia="sans-serif" w:cs="sans-serif"/>
          <w:i w:val="0"/>
          <w:iCs w:val="0"/>
          <w:caps w:val="0"/>
          <w:color w:val="000000"/>
          <w:spacing w:val="0"/>
          <w:sz w:val="27"/>
          <w:szCs w:val="27"/>
        </w:rPr>
      </w:pPr>
    </w:p>
    <w:p>
      <w:pPr>
        <w:pStyle w:val="2"/>
        <w:keepNext w:val="0"/>
        <w:keepLines w:val="0"/>
        <w:widowControl/>
        <w:suppressLineNumbers w:val="0"/>
        <w:spacing w:line="315" w:lineRule="atLeast"/>
        <w:ind w:left="0" w:firstLine="420"/>
        <w:jc w:val="righ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2022年8月19日</w:t>
      </w:r>
    </w:p>
    <w:p>
      <w:pPr>
        <w:pStyle w:val="2"/>
        <w:keepNext w:val="0"/>
        <w:keepLines w:val="0"/>
        <w:widowControl/>
        <w:suppressLineNumbers w:val="0"/>
        <w:spacing w:line="315" w:lineRule="atLeast"/>
        <w:ind w:left="0" w:firstLine="420"/>
        <w:jc w:val="center"/>
        <w:rPr>
          <w:rFonts w:hint="default" w:ascii="sans-serif" w:hAnsi="sans-serif" w:eastAsia="sans-serif" w:cs="sans-serif"/>
          <w:i w:val="0"/>
          <w:iCs w:val="0"/>
          <w:caps w:val="0"/>
          <w:color w:val="000000"/>
          <w:spacing w:val="0"/>
          <w:sz w:val="27"/>
          <w:szCs w:val="27"/>
        </w:rPr>
      </w:pPr>
    </w:p>
    <w:p>
      <w:pPr>
        <w:pStyle w:val="2"/>
        <w:keepNext w:val="0"/>
        <w:keepLines w:val="0"/>
        <w:widowControl/>
        <w:suppressLineNumbers w:val="0"/>
        <w:spacing w:line="315" w:lineRule="atLeast"/>
        <w:ind w:left="0" w:firstLine="420"/>
        <w:jc w:val="center"/>
        <w:rPr>
          <w:rStyle w:val="5"/>
          <w:rFonts w:hint="eastAsia" w:ascii="黑体" w:hAnsi="黑体" w:eastAsia="黑体" w:cs="黑体"/>
          <w:i w:val="0"/>
          <w:iCs w:val="0"/>
          <w:caps w:val="0"/>
          <w:color w:val="000000"/>
          <w:spacing w:val="0"/>
          <w:sz w:val="44"/>
          <w:szCs w:val="44"/>
        </w:rPr>
      </w:pPr>
      <w:bookmarkStart w:id="1" w:name="_GoBack"/>
      <w:r>
        <w:rPr>
          <w:rStyle w:val="5"/>
          <w:rFonts w:hint="eastAsia" w:ascii="黑体" w:hAnsi="黑体" w:eastAsia="黑体" w:cs="黑体"/>
          <w:i w:val="0"/>
          <w:iCs w:val="0"/>
          <w:caps w:val="0"/>
          <w:color w:val="000000"/>
          <w:spacing w:val="0"/>
          <w:sz w:val="44"/>
          <w:szCs w:val="44"/>
        </w:rPr>
        <w:t>关于进一步加快重大项目建设扩大有效投资工作方案</w:t>
      </w:r>
    </w:p>
    <w:bookmarkEnd w:id="1"/>
    <w:p>
      <w:pPr>
        <w:pStyle w:val="2"/>
        <w:keepNext w:val="0"/>
        <w:keepLines w:val="0"/>
        <w:widowControl/>
        <w:suppressLineNumbers w:val="0"/>
        <w:spacing w:line="315" w:lineRule="atLeast"/>
        <w:ind w:left="0" w:firstLine="420"/>
        <w:jc w:val="center"/>
        <w:rPr>
          <w:rStyle w:val="5"/>
          <w:rFonts w:hint="eastAsia" w:ascii="黑体" w:hAnsi="黑体" w:eastAsia="黑体" w:cs="黑体"/>
          <w:i w:val="0"/>
          <w:iCs w:val="0"/>
          <w:caps w:val="0"/>
          <w:color w:val="000000"/>
          <w:spacing w:val="0"/>
          <w:sz w:val="44"/>
          <w:szCs w:val="44"/>
        </w:rPr>
      </w:pP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为深入贯彻落实《省人民政府关于进一步加快重大项目建设扩大有效投资的若干意见》（鄂政发〔2022〕17号）、《随州市人民政府印发关于进一步加快重大项目建设扩大有效投资工作方案的通知》（随政发〔2022〕24号），充分发挥投资对稳增长、调结构、补短板、惠民生的重大支撑作用，结合我市实际，制定本工作方案。</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一、强化招商引资“一号工程”。聚焦“2542”产业发展布局，精心组织重点地区、重点行业、重点领域招商推介活动，定期对各地招商引资政策兑现开展检查，持续营造良好招商环境。坚持“周通报、旬会商、月调度、季考评”招商工作机制，动态晒战果、比战绩、点评打擂，在全市形成拼抢实进的招商气场。认真贯彻落实《随州市招商引资奖励实施办法》《广水市招商引资若干政策规定》，坚决兑现对委托招商机构、社会引资者的招商引资奖励，用真金白银奖励招商引资有功之臣。2022年，全市新签约亿元以上项目达到35个以上，合同金额突破225亿元。（责任单位：市招商服务中心，各镇办及开发区管委会）</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二、持续深化项目前期。定期召开重大项目前期推进工作调度会，对全市亿元以上重大产业项目和重大基础设施项目集中调度、把脉问诊，推动重大项目早落地、快达效。抢抓省政府安排1亿元项目前期奖励资金机遇，争取更多份额，对全市新开工项目推进实、重点项目进度快、投资运行好的镇办和相关部门实行以奖代补。推动全市实现政府投资项目前期工作经费统管统用，全力保障政府投资项目特别是争资项目的前期工作需求，力求争取更多上级资金。（责任单位：市发改局、市财政局）</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三、加快投资项目审批。对列入年度市级重点建设计划和城市重点工程的项目，不再审批项目建议书。对不新增用地且建设内容单一、总投资1000万元以下、技术方案简单的政府投资项目，可合并审批项目建议书、可行性研究报告和初步设计。对争取上级资金的项目要加快审批，特别是对前期审批环节多、报送时间要求紧的项目要开辟“绿色通道”，实行容缺审批。（责任单位：市发改局、市财政局、市自然资源和规划局、市生态环境分局、市住建局、市公共资源交易中心、各镇办及开发区管委会）</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四、加大对上争取力度。紧紧抓住“国家全面加强基础设施建设扩大有效投资”政策机遇，学懂弄通“基础设施领域不动产投资信托基金（REITs）”“专项金融债”等政策利好，持续推进市政府分管领导领衔策划、申报、督办基础设施项目工作机制，督促相关行业部门定期向上汇报，第一时间掌握上级政策动态，做到谋划项目有的放矢、争取资金抢前争先。市发改局在已争取到位1.3亿元中央和省预算内资金的基础上，力争全年争取中央和省预算内资金突破1.8亿元，其他相关行业部门争取上级项目建设资金比2021年有较大增长。（责任单位：市发改局、市生态环境分局、市住建局、市交通运输局、市水利和湖泊局、市教育局、市农业农村局，各镇办及开发区管委会）</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五、全力争取地方政府专项债券资金。加强对上汇报沟通，最大限度争取省财政厅对我市增加专项债限额空间。强化专项债券项目全生命周期服务保障，把好专项债券项目申报“入口关”，聚焦专项债券11大领域精准谋划包装项目，合理合规申报项目，加快推进项目前期各项手续，用最大努力争取更多资金。建立专项债券资金进度通报预警机制，定期通报并督促加快债券资金使用进度，确保今年新增专项债券资金8月底前全部使用到位。（责任单位：市财政局、市发改局）</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六、加快重大项目建设。开展重大项目困难问题限期交办、重大项目进度巡检和政府投资项目百日攻坚行动，对全市5000万元以上重大项目实行储备、审批、开工、建设、达产全生命周期管理，督项目转化促开工建设、督续建项目促建设进度、督项目竣工促达产达效、督要素保障促环境优化、督项目入库促应统尽统。2022年，全市新开工亿元以上项目要达到30个以上，在建亿元以上项目要达到80个以上。（责任单位：市发改局、市科技经信局、市住建局、市交通运输局，各镇办及开发区管委会）</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七、加强重大项目用地用林保障。统筹开展城乡建设用地增减挂钩、全域国土综合整治、耕地占补平衡项目建设，拓宽耕地占补平衡和城乡建设用地增减挂钩结余指标来源。已完成区域性统一评价的各类园区，新增工业用地一律按照“标准地”方式出让，全面推行“五证同发”，实现“拿地即开工”。企业利用自有存量工业用地，经批准增加容积率和地下空间的，不另外增收土地出让金。省级重点项目实行“边组边审、即来即审”，加快组卷用地报批。省级下达我市2022年林地指标优先保障省市重点项目和民生改善项目。（责任单位：市自然资源和规划局，市林业局）</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八、简化投资项目环评管理。全面建立项目准入环评咨询前移机制，对重点建设项目提前介入，指导项目选址选线及环评论证，规避项目运行后环境风险。《建设项目环境影响评价分类管理名录》未做规定的项目，免于环评管理。对项目涉及占用各类法定保护区、湖泊等的，除法律法规有明确规定外，主管部门意见可不作为环评前置条件。试行排污权交易容缺受理，实行先审批后交易，将交易结果后置为排污许可审核要件。定期发布环境监测站点环境质量监测数据，供建设项目查询引用。（责任单位：市生态环境分局）</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九、加大企业技术改造支持力度。进一步加大争取上级技术改造专项资金力度，力争2022年争取上级技改专项资金2000万元以上。落实落细《关于加快实体经济高质量发展的若干意见》，对引领性强、附加值高的工业技改项目实行奖补，激发企业投资热情，引导企业加大技改投资，提升产业创新能力。（责任单位：市科技经信局）</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全市推进重大项目建设扩大有效投资工作领导小组将对全市重点项目进行周调度，完善进度台账，按月通报进展情况。各地各相关部门投资和重大项目推进情况将纳入目标管理考核，对工作成效突出的，给予奖励；对工作明显滞后的，进行通报批评。</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附件：广水市加快重大项目建设扩大有效投资任务清单</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p>
    <w:p>
      <w:pPr>
        <w:pStyle w:val="2"/>
        <w:keepNext w:val="0"/>
        <w:keepLines w:val="0"/>
        <w:widowControl/>
        <w:suppressLineNumbers w:val="0"/>
        <w:spacing w:line="315" w:lineRule="atLeast"/>
        <w:ind w:left="0" w:firstLine="420"/>
        <w:jc w:val="center"/>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广水市加快重大项目建设扩大有效投资任务清单</w:t>
      </w:r>
    </w:p>
    <w:tbl>
      <w:tblPr>
        <w:tblW w:w="11655" w:type="dxa"/>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75" w:type="dxa"/>
          <w:left w:w="150" w:type="dxa"/>
          <w:bottom w:w="75" w:type="dxa"/>
          <w:right w:w="150" w:type="dxa"/>
        </w:tblCellMar>
      </w:tblPr>
      <w:tblGrid>
        <w:gridCol w:w="1167"/>
        <w:gridCol w:w="6615"/>
        <w:gridCol w:w="3873"/>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94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序号</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2022年目标任务</w:t>
            </w:r>
          </w:p>
        </w:tc>
        <w:tc>
          <w:tcPr>
            <w:tcW w:w="313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责任单位</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jc w:val="center"/>
        </w:trPr>
        <w:tc>
          <w:tcPr>
            <w:tcW w:w="94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1</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固定资产投资同比增长15％左右。</w:t>
            </w:r>
          </w:p>
        </w:tc>
        <w:tc>
          <w:tcPr>
            <w:tcW w:w="313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市发改局</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94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2</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新开工亿元以上项目30个以上，在建亿元以上项目80个以上。</w:t>
            </w:r>
          </w:p>
        </w:tc>
        <w:tc>
          <w:tcPr>
            <w:tcW w:w="313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市发改局，各镇办及开发区管委会</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94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3</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新招引亿元以上项目35个以上，合同金额225亿元以上。</w:t>
            </w:r>
          </w:p>
        </w:tc>
        <w:tc>
          <w:tcPr>
            <w:tcW w:w="313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市招商</w:t>
            </w:r>
            <w:bookmarkStart w:id="0" w:name="_GoBack"/>
            <w:bookmarkEnd w:id="0"/>
            <w:r>
              <w:rPr>
                <w:rFonts w:hint="default" w:ascii="sans-serif" w:hAnsi="sans-serif" w:eastAsia="sans-serif" w:cs="sans-serif"/>
                <w:i w:val="0"/>
                <w:iCs w:val="0"/>
                <w:caps w:val="0"/>
                <w:color w:val="000000"/>
                <w:spacing w:val="0"/>
                <w:sz w:val="27"/>
                <w:szCs w:val="27"/>
                <w:bdr w:val="none" w:color="auto" w:sz="0" w:space="0"/>
              </w:rPr>
              <w:t>服务中心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94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4</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新增建设用地2000亩以上。</w:t>
            </w:r>
          </w:p>
        </w:tc>
        <w:tc>
          <w:tcPr>
            <w:tcW w:w="313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市自然资源和规划局</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94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5</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争取地方政府债券资金10亿元以上。</w:t>
            </w:r>
          </w:p>
        </w:tc>
        <w:tc>
          <w:tcPr>
            <w:tcW w:w="313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市财政局</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94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6</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争取中央和省预算内资金1.8亿元以上。</w:t>
            </w:r>
          </w:p>
        </w:tc>
        <w:tc>
          <w:tcPr>
            <w:tcW w:w="313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市发改局</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75" w:type="dxa"/>
            <w:left w:w="150" w:type="dxa"/>
            <w:bottom w:w="75" w:type="dxa"/>
            <w:right w:w="150" w:type="dxa"/>
          </w:tblCellMar>
        </w:tblPrEx>
        <w:trPr>
          <w:jc w:val="center"/>
        </w:trPr>
        <w:tc>
          <w:tcPr>
            <w:tcW w:w="94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7</w:t>
            </w:r>
          </w:p>
        </w:tc>
        <w:tc>
          <w:tcPr>
            <w:tcW w:w="535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争取上级项目建设资金同比增长10％以上。</w:t>
            </w:r>
          </w:p>
        </w:tc>
        <w:tc>
          <w:tcPr>
            <w:tcW w:w="313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pPr>
            <w:r>
              <w:rPr>
                <w:rFonts w:hint="default" w:ascii="sans-serif" w:hAnsi="sans-serif" w:eastAsia="sans-serif" w:cs="sans-serif"/>
                <w:i w:val="0"/>
                <w:iCs w:val="0"/>
                <w:caps w:val="0"/>
                <w:color w:val="000000"/>
                <w:spacing w:val="0"/>
                <w:sz w:val="27"/>
                <w:szCs w:val="27"/>
                <w:bdr w:val="none" w:color="auto" w:sz="0" w:space="0"/>
              </w:rPr>
              <w:t>市教育局、市科技经信局、市生态环境分局、市住建局、市交通运输局、市水利和湖泊局、市农业农村局</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mJjMDk0ODFlMjVhYjRjMzY0ZDhjMzA4N2E5MGEifQ=="/>
  </w:docVars>
  <w:rsids>
    <w:rsidRoot w:val="5FED2505"/>
    <w:rsid w:val="5FED2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2023-08-04T06:47:00Z</dcterms:created>
  <dc:creator>微信用户</dc:creator>
  <cp:lastModifiedBy>微信用户</cp:lastModifiedBy>
  <dcterms:modified xsi:type="dcterms:W3CDTF">2023-08-04T06:48:53Z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DCB2131287D24D56A49EA0B8C57F80B0_11</vt:lpwstr>
  </property>
</Properties>
</file>