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仿宋" w:eastAsia="方正小标宋简体"/>
          <w:sz w:val="44"/>
          <w:szCs w:val="44"/>
        </w:rPr>
      </w:pPr>
    </w:p>
    <w:p>
      <w:pPr>
        <w:suppressAutoHyphens/>
        <w:kinsoku w:val="0"/>
        <w:overflowPunct w:val="0"/>
        <w:spacing w:line="560" w:lineRule="exact"/>
        <w:jc w:val="center"/>
        <w:rPr>
          <w:rFonts w:ascii="方正小标宋简体" w:hAnsi="仿宋" w:eastAsia="方正小标宋简体" w:cs="仿宋"/>
          <w:b/>
          <w:kern w:val="32"/>
          <w:sz w:val="44"/>
          <w:szCs w:val="44"/>
        </w:rPr>
      </w:pPr>
    </w:p>
    <w:p>
      <w:pPr>
        <w:pStyle w:val="2"/>
        <w:spacing w:line="560" w:lineRule="exact"/>
      </w:pPr>
    </w:p>
    <w:p>
      <w:pPr>
        <w:suppressAutoHyphens/>
        <w:kinsoku w:val="0"/>
        <w:overflowPunct w:val="0"/>
        <w:spacing w:line="560" w:lineRule="exact"/>
        <w:jc w:val="center"/>
        <w:rPr>
          <w:rFonts w:ascii="方正小标宋简体" w:hAnsi="仿宋" w:eastAsia="方正小标宋简体" w:cs="仿宋"/>
          <w:b/>
          <w:kern w:val="32"/>
          <w:sz w:val="44"/>
          <w:szCs w:val="44"/>
        </w:rPr>
      </w:pPr>
    </w:p>
    <w:p>
      <w:pPr>
        <w:suppressAutoHyphens/>
        <w:kinsoku w:val="0"/>
        <w:overflowPunct w:val="0"/>
        <w:spacing w:line="560" w:lineRule="exact"/>
        <w:jc w:val="center"/>
        <w:rPr>
          <w:rFonts w:ascii="方正小标宋简体" w:hAnsi="仿宋" w:eastAsia="方正小标宋简体" w:cs="仿宋"/>
          <w:b/>
          <w:kern w:val="32"/>
          <w:sz w:val="44"/>
          <w:szCs w:val="44"/>
        </w:rPr>
      </w:pPr>
    </w:p>
    <w:p>
      <w:pPr>
        <w:suppressAutoHyphens/>
        <w:kinsoku w:val="0"/>
        <w:overflowPunct w:val="0"/>
        <w:spacing w:line="560" w:lineRule="exact"/>
        <w:jc w:val="center"/>
        <w:rPr>
          <w:rFonts w:ascii="方正小标宋简体" w:hAnsi="仿宋" w:eastAsia="方正小标宋简体" w:cs="仿宋"/>
          <w:b/>
          <w:kern w:val="32"/>
          <w:sz w:val="44"/>
          <w:szCs w:val="44"/>
        </w:rPr>
      </w:pPr>
    </w:p>
    <w:p>
      <w:pPr>
        <w:spacing w:line="560" w:lineRule="exact"/>
        <w:jc w:val="center"/>
        <w:rPr>
          <w:rFonts w:ascii="仿宋_GB2312" w:hAnsi="仿宋" w:eastAsia="仿宋_GB2312"/>
          <w:sz w:val="32"/>
          <w:szCs w:val="32"/>
        </w:rPr>
      </w:pPr>
      <w:r>
        <w:rPr>
          <w:rFonts w:hint="eastAsia" w:ascii="仿宋_GB2312" w:hAnsi="仿宋" w:eastAsia="仿宋_GB2312"/>
          <w:sz w:val="32"/>
          <w:szCs w:val="32"/>
        </w:rPr>
        <w:t>广市监办文〔2023〕</w:t>
      </w:r>
      <w:r>
        <w:rPr>
          <w:rFonts w:ascii="仿宋_GB2312" w:hAnsi="仿宋" w:eastAsia="仿宋_GB2312"/>
          <w:sz w:val="32"/>
          <w:szCs w:val="32"/>
        </w:rPr>
        <w:t>4</w:t>
      </w:r>
      <w:r>
        <w:rPr>
          <w:rFonts w:hint="eastAsia" w:ascii="仿宋_GB2312" w:hAnsi="仿宋" w:eastAsia="仿宋_GB2312"/>
          <w:sz w:val="32"/>
          <w:szCs w:val="32"/>
        </w:rPr>
        <w:t>号</w:t>
      </w:r>
    </w:p>
    <w:p>
      <w:pPr>
        <w:suppressAutoHyphens/>
        <w:kinsoku w:val="0"/>
        <w:overflowPunct w:val="0"/>
        <w:spacing w:line="560" w:lineRule="exact"/>
        <w:jc w:val="center"/>
        <w:rPr>
          <w:rFonts w:ascii="方正小标宋简体" w:hAnsi="仿宋" w:eastAsia="方正小标宋简体" w:cs="仿宋"/>
          <w:b/>
          <w:kern w:val="32"/>
          <w:sz w:val="44"/>
          <w:szCs w:val="44"/>
        </w:rPr>
      </w:pPr>
    </w:p>
    <w:p>
      <w:pPr>
        <w:suppressAutoHyphens/>
        <w:kinsoku w:val="0"/>
        <w:overflowPunct w:val="0"/>
        <w:spacing w:line="560" w:lineRule="exact"/>
        <w:jc w:val="center"/>
        <w:rPr>
          <w:rFonts w:ascii="方正小标宋简体" w:hAnsi="仿宋" w:eastAsia="方正小标宋简体" w:cs="仿宋"/>
          <w:b/>
          <w:kern w:val="32"/>
          <w:sz w:val="44"/>
          <w:szCs w:val="44"/>
        </w:rPr>
      </w:pPr>
    </w:p>
    <w:p>
      <w:pPr>
        <w:suppressAutoHyphens/>
        <w:kinsoku w:val="0"/>
        <w:overflowPunct w:val="0"/>
        <w:spacing w:line="560" w:lineRule="exact"/>
        <w:jc w:val="center"/>
        <w:rPr>
          <w:rFonts w:ascii="方正小标宋简体" w:hAnsi="仿宋" w:eastAsia="方正小标宋简体" w:cs="仿宋"/>
          <w:b/>
          <w:spacing w:val="-12"/>
          <w:kern w:val="32"/>
          <w:sz w:val="44"/>
          <w:szCs w:val="44"/>
        </w:rPr>
      </w:pPr>
      <w:r>
        <w:rPr>
          <w:rFonts w:hint="eastAsia" w:ascii="方正小标宋简体" w:hAnsi="仿宋" w:eastAsia="方正小标宋简体" w:cs="仿宋"/>
          <w:b/>
          <w:spacing w:val="-12"/>
          <w:kern w:val="32"/>
          <w:sz w:val="44"/>
          <w:szCs w:val="44"/>
        </w:rPr>
        <w:t>市市场监管局办公室</w:t>
      </w:r>
    </w:p>
    <w:p>
      <w:pPr>
        <w:suppressAutoHyphens/>
        <w:kinsoku w:val="0"/>
        <w:overflowPunct w:val="0"/>
        <w:spacing w:line="560" w:lineRule="exact"/>
        <w:jc w:val="center"/>
        <w:rPr>
          <w:rFonts w:ascii="方正小标宋简体" w:hAnsi="方正小标宋简体" w:eastAsia="方正小标宋简体" w:cs="方正小标宋简体"/>
          <w:b/>
          <w:spacing w:val="-12"/>
          <w:sz w:val="44"/>
          <w:szCs w:val="44"/>
        </w:rPr>
      </w:pPr>
      <w:r>
        <w:rPr>
          <w:rFonts w:hint="eastAsia" w:ascii="方正小标宋简体" w:hAnsi="仿宋" w:eastAsia="方正小标宋简体" w:cs="仿宋"/>
          <w:b/>
          <w:spacing w:val="-12"/>
          <w:kern w:val="32"/>
          <w:sz w:val="44"/>
          <w:szCs w:val="44"/>
        </w:rPr>
        <w:t>关于</w:t>
      </w:r>
      <w:r>
        <w:rPr>
          <w:rFonts w:hint="eastAsia" w:ascii="方正小标宋简体" w:hAnsi="方正小标宋简体" w:eastAsia="方正小标宋简体" w:cs="方正小标宋简体"/>
          <w:b/>
          <w:spacing w:val="-12"/>
          <w:sz w:val="44"/>
          <w:szCs w:val="44"/>
        </w:rPr>
        <w:t>印发2023年广水市市场监管工作要点的</w:t>
      </w:r>
    </w:p>
    <w:p>
      <w:pPr>
        <w:suppressAutoHyphens/>
        <w:kinsoku w:val="0"/>
        <w:overflowPunct w:val="0"/>
        <w:spacing w:line="560" w:lineRule="exact"/>
        <w:jc w:val="center"/>
        <w:rPr>
          <w:rFonts w:ascii="方正小标宋简体" w:hAnsi="方正小标宋简体" w:eastAsia="方正小标宋简体" w:cs="方正小标宋简体"/>
          <w:b/>
          <w:spacing w:val="-12"/>
          <w:sz w:val="44"/>
          <w:szCs w:val="44"/>
        </w:rPr>
      </w:pPr>
      <w:r>
        <w:rPr>
          <w:rFonts w:hint="eastAsia" w:ascii="方正小标宋简体" w:hAnsi="方正小标宋简体" w:eastAsia="方正小标宋简体" w:cs="方正小标宋简体"/>
          <w:b/>
          <w:spacing w:val="-12"/>
          <w:sz w:val="44"/>
          <w:szCs w:val="44"/>
        </w:rPr>
        <w:t>通  知</w:t>
      </w:r>
    </w:p>
    <w:p>
      <w:pPr>
        <w:spacing w:line="560" w:lineRule="exact"/>
        <w:jc w:val="center"/>
        <w:rPr>
          <w:sz w:val="32"/>
          <w:szCs w:val="32"/>
        </w:rPr>
      </w:pPr>
    </w:p>
    <w:p>
      <w:pPr>
        <w:spacing w:line="560" w:lineRule="exact"/>
        <w:jc w:val="left"/>
        <w:rPr>
          <w:rFonts w:ascii="仿宋_GB2312" w:hAnsi="仿宋" w:eastAsia="仿宋_GB2312"/>
          <w:sz w:val="32"/>
          <w:szCs w:val="32"/>
        </w:rPr>
      </w:pPr>
      <w:r>
        <w:rPr>
          <w:rFonts w:hint="eastAsia" w:ascii="仿宋_GB2312" w:hAnsi="仿宋" w:eastAsia="仿宋_GB2312"/>
          <w:sz w:val="32"/>
          <w:szCs w:val="32"/>
        </w:rPr>
        <w:t>机关各股室，各市场监管所，局属各单位：</w:t>
      </w:r>
    </w:p>
    <w:p>
      <w:pPr>
        <w:pStyle w:val="2"/>
        <w:spacing w:line="560" w:lineRule="exact"/>
        <w:ind w:left="0" w:leftChars="0" w:firstLine="640" w:firstLineChars="200"/>
        <w:rPr>
          <w:rFonts w:ascii="仿宋_GB2312" w:hAnsi="仿宋" w:eastAsia="仿宋_GB2312" w:cstheme="minorBidi"/>
          <w:sz w:val="32"/>
          <w:szCs w:val="32"/>
        </w:rPr>
      </w:pPr>
      <w:r>
        <w:rPr>
          <w:rFonts w:hint="eastAsia" w:ascii="仿宋_GB2312" w:hAnsi="仿宋" w:eastAsia="仿宋_GB2312" w:cstheme="minorBidi"/>
          <w:sz w:val="32"/>
          <w:szCs w:val="32"/>
        </w:rPr>
        <w:t>现将《2023年广水市市场监管工作要点》印发给你们</w:t>
      </w:r>
      <w:r>
        <w:rPr>
          <w:rFonts w:hint="eastAsia" w:ascii="仿宋_GB2312" w:hAnsi="仿宋" w:eastAsia="仿宋_GB2312" w:cstheme="minorBidi"/>
          <w:sz w:val="32"/>
          <w:szCs w:val="32"/>
          <w:lang w:eastAsia="zh-CN"/>
        </w:rPr>
        <w:t>，</w:t>
      </w:r>
      <w:r>
        <w:rPr>
          <w:rFonts w:hint="eastAsia" w:ascii="仿宋_GB2312" w:hAnsi="仿宋" w:eastAsia="仿宋_GB2312" w:cstheme="minorBidi"/>
          <w:sz w:val="32"/>
          <w:szCs w:val="32"/>
        </w:rPr>
        <w:t>请结合实际,细化分解任务、明确完成时限、接续压茬推进,以工作项目化、项目清单化、清单责任化抓好工作落实。</w:t>
      </w:r>
    </w:p>
    <w:p>
      <w:pPr>
        <w:adjustRightInd w:val="0"/>
        <w:snapToGrid w:val="0"/>
        <w:spacing w:line="560" w:lineRule="exact"/>
        <w:rPr>
          <w:rFonts w:ascii="仿宋_GB2312" w:hAnsi="等线" w:eastAsia="仿宋_GB2312"/>
          <w:sz w:val="32"/>
          <w:szCs w:val="32"/>
        </w:rPr>
      </w:pPr>
    </w:p>
    <w:p>
      <w:pPr>
        <w:adjustRightInd w:val="0"/>
        <w:snapToGrid w:val="0"/>
        <w:spacing w:line="560" w:lineRule="exact"/>
        <w:rPr>
          <w:rFonts w:ascii="仿宋_GB2312" w:hAnsi="等线" w:eastAsia="仿宋_GB2312"/>
          <w:sz w:val="32"/>
          <w:szCs w:val="32"/>
        </w:rPr>
      </w:pPr>
    </w:p>
    <w:p>
      <w:pPr>
        <w:adjustRightInd w:val="0"/>
        <w:snapToGrid w:val="0"/>
        <w:spacing w:line="560" w:lineRule="exact"/>
        <w:rPr>
          <w:rFonts w:ascii="仿宋_GB2312" w:hAnsi="等线" w:eastAsia="仿宋_GB2312"/>
          <w:sz w:val="32"/>
          <w:szCs w:val="32"/>
        </w:rPr>
      </w:pPr>
    </w:p>
    <w:p>
      <w:pPr>
        <w:adjustRightInd w:val="0"/>
        <w:snapToGrid w:val="0"/>
        <w:spacing w:line="560" w:lineRule="exact"/>
        <w:ind w:firstLine="4000" w:firstLineChars="1250"/>
        <w:rPr>
          <w:rFonts w:ascii="仿宋_GB2312" w:hAnsi="等线" w:eastAsia="仿宋_GB2312"/>
          <w:sz w:val="32"/>
          <w:szCs w:val="32"/>
        </w:rPr>
      </w:pPr>
      <w:r>
        <w:rPr>
          <w:rFonts w:hint="eastAsia" w:ascii="仿宋_GB2312" w:hAnsi="等线" w:eastAsia="仿宋_GB2312"/>
          <w:sz w:val="32"/>
          <w:szCs w:val="32"/>
        </w:rPr>
        <w:t>广水市市场监督管理局办公室</w:t>
      </w:r>
    </w:p>
    <w:p>
      <w:pPr>
        <w:adjustRightInd w:val="0"/>
        <w:snapToGrid w:val="0"/>
        <w:spacing w:line="560" w:lineRule="exact"/>
        <w:ind w:firstLine="4800" w:firstLineChars="1500"/>
        <w:rPr>
          <w:rFonts w:ascii="仿宋_GB2312" w:hAnsi="仿宋" w:eastAsia="仿宋_GB2312"/>
          <w:sz w:val="32"/>
          <w:szCs w:val="32"/>
        </w:rPr>
      </w:pPr>
      <w:r>
        <w:rPr>
          <w:rFonts w:hint="eastAsia" w:ascii="仿宋_GB2312" w:hAnsi="仿宋" w:eastAsia="仿宋_GB2312"/>
          <w:sz w:val="32"/>
          <w:szCs w:val="32"/>
        </w:rPr>
        <w:t>2023年2月20日</w:t>
      </w:r>
    </w:p>
    <w:p>
      <w:pPr>
        <w:spacing w:line="540" w:lineRule="exact"/>
        <w:jc w:val="center"/>
        <w:rPr>
          <w:rFonts w:ascii="方正小标宋简体" w:hAnsi="仿宋" w:eastAsia="方正小标宋简体"/>
          <w:b/>
          <w:sz w:val="44"/>
          <w:szCs w:val="44"/>
        </w:rPr>
      </w:pPr>
      <w:bookmarkStart w:id="0" w:name="_GoBack"/>
      <w:r>
        <w:rPr>
          <w:rFonts w:hint="eastAsia" w:ascii="方正小标宋简体" w:hAnsi="仿宋" w:eastAsia="方正小标宋简体"/>
          <w:b/>
          <w:sz w:val="44"/>
          <w:szCs w:val="44"/>
        </w:rPr>
        <w:t>2023年广水市市场监管工作要点</w:t>
      </w:r>
      <w:bookmarkEnd w:id="0"/>
      <w:r>
        <w:rPr>
          <w:rFonts w:hint="eastAsia" w:ascii="MS Mincho" w:hAnsi="MS Mincho" w:eastAsia="MS Mincho" w:cs="MS Mincho"/>
          <w:b/>
          <w:sz w:val="44"/>
          <w:szCs w:val="44"/>
        </w:rPr>
        <w:t>​</w:t>
      </w:r>
    </w:p>
    <w:p>
      <w:pPr>
        <w:spacing w:line="540" w:lineRule="exact"/>
        <w:rPr>
          <w:rFonts w:ascii="仿宋" w:hAnsi="仿宋" w:eastAsia="仿宋"/>
          <w:sz w:val="32"/>
          <w:szCs w:val="32"/>
        </w:rPr>
      </w:pP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2023年，全市市场监管工作总体要求是：以习近平新时代中国特色社会主义思想为指导,全面贯彻党的二十大和中央经济工作会议精神，深入落实省委、市委经济工作会议和全省市场监管工作会议部署，坚持稳中求进工作总基调，锚定“再进位、冲百强、创辉煌”的发展目标，推进精准服务、综合监管，奋力开创市场监管事业新局面，为夺取社会主义现代化建设的新胜利贡献市场监管力量。</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一、聚力营商环境优化，推进市场主体提质增量</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大力培育市场主体。深入开展“新春创业服务月”、大学生创业“育苗”、市场主体“壮苗”等行动和“个体工商户服务月”“民营经济标准创新周”活动，探索开展个体工商户分型分类培育，进一步强化“个转企”政策落实，充分数发中小企业和个体工商户活力，确保市场主体总量稳中有升。开展专业市场党建工作“百日提升”行动。</w:t>
      </w:r>
      <w:r>
        <w:rPr>
          <w:rFonts w:hint="eastAsia" w:ascii="仿宋_GB2312" w:hAnsi="仿宋" w:eastAsia="仿宋_GB2312"/>
          <w:b/>
          <w:sz w:val="32"/>
          <w:szCs w:val="32"/>
        </w:rPr>
        <w:t>(责任单位:注册审批股、个私协秘书处、各基层所)</w:t>
      </w:r>
    </w:p>
    <w:p>
      <w:pPr>
        <w:spacing w:line="540" w:lineRule="exact"/>
        <w:ind w:firstLine="640" w:firstLineChars="200"/>
        <w:rPr>
          <w:rFonts w:ascii="仿宋" w:hAnsi="仿宋" w:eastAsia="仿宋"/>
          <w:sz w:val="32"/>
          <w:szCs w:val="32"/>
        </w:rPr>
      </w:pPr>
      <w:r>
        <w:rPr>
          <w:rFonts w:hint="eastAsia" w:ascii="仿宋_GB2312" w:hAnsi="仿宋" w:eastAsia="仿宋_GB2312"/>
          <w:sz w:val="32"/>
          <w:szCs w:val="32"/>
        </w:rPr>
        <w:t>2.持续深化“放管服”改革。坚持“两个毫不动摇”，全面落实市场准入负面清单管理，推进市场主体登记规范化标准化便利化。拓展企业开办“210”标准到企业设立、变更、注销全流程。统筹推动“证照分离”改革事项落实，实现准入准营同步提速，深化“一业一证”改革，拓展“一业一证”改革到 25 个行业以上，推广准营承诺即入制改革，扩大电子营业执照和电子证照应用场景。拓展强制注销改革成果,推行企业开办“2050”政策，企业开办、变更、注销一网通办，审核结果全程查看。</w:t>
      </w:r>
      <w:r>
        <w:rPr>
          <w:rFonts w:hint="eastAsia" w:ascii="仿宋_GB2312" w:hAnsi="仿宋" w:eastAsia="仿宋_GB2312"/>
          <w:b/>
          <w:sz w:val="32"/>
          <w:szCs w:val="32"/>
        </w:rPr>
        <w:t>(责任单位:注册审批股、各基层所)</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二、服务企业发展，推进质量强市创新赋能</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3.开展质量提升行动。围绕项目建设提速工作要求，深入实施质量强市战略，激励引导我市各行业加强质量管理，组织各类企业积极申报编钟质量奖、长江质量奖。</w:t>
      </w:r>
      <w:r>
        <w:rPr>
          <w:rFonts w:hint="eastAsia" w:ascii="仿宋_GB2312" w:hAnsi="仿宋" w:eastAsia="仿宋_GB2312" w:cs="Times New Roman"/>
          <w:sz w:val="32"/>
          <w:szCs w:val="32"/>
        </w:rPr>
        <w:t>深入实施“万千百”质量提升行动</w:t>
      </w:r>
      <w:r>
        <w:rPr>
          <w:rFonts w:hint="eastAsia" w:ascii="仿宋_GB2312" w:hAnsi="仿宋" w:eastAsia="仿宋_GB2312"/>
          <w:sz w:val="32"/>
          <w:szCs w:val="32"/>
        </w:rPr>
        <w:t>、</w:t>
      </w:r>
      <w:r>
        <w:rPr>
          <w:rFonts w:hint="eastAsia" w:ascii="仿宋_GB2312" w:hAnsi="仿宋" w:eastAsia="仿宋_GB2312" w:cs="Times New Roman"/>
          <w:sz w:val="32"/>
          <w:szCs w:val="32"/>
        </w:rPr>
        <w:t>公共服务质量提升行动</w:t>
      </w:r>
      <w:r>
        <w:rPr>
          <w:rFonts w:hint="eastAsia" w:ascii="仿宋_GB2312" w:hAnsi="仿宋" w:eastAsia="仿宋_GB2312"/>
          <w:sz w:val="32"/>
          <w:szCs w:val="32"/>
        </w:rPr>
        <w:t>，及时跟进48家企业的质量提升工作，持续精准开展服务。</w:t>
      </w:r>
      <w:r>
        <w:rPr>
          <w:rFonts w:hint="eastAsia" w:ascii="仿宋_GB2312" w:hAnsi="仿宋" w:eastAsia="仿宋_GB2312"/>
          <w:b/>
          <w:sz w:val="32"/>
          <w:szCs w:val="32"/>
        </w:rPr>
        <w:t>(责任单位:质量股)</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进一步完善计量制度机制。加强重点行业领域计量监督管理，妥善处理有关民用“三表”的计量纠纷。组织开展法定计量技术机构监督检查，提高计量标准考核工作的规范性，深入排查计量标准存在的风险隐患，督促落实建标单位的主体责任。熟练使用“湖北省计量行政监督管理系统”，提升计量监管工作效率。</w:t>
      </w:r>
      <w:r>
        <w:rPr>
          <w:rFonts w:hint="eastAsia" w:ascii="仿宋_GB2312" w:hAnsi="仿宋" w:eastAsia="仿宋_GB2312"/>
          <w:sz w:val="32"/>
          <w:szCs w:val="32"/>
          <w:lang w:eastAsia="zh-CN"/>
        </w:rPr>
        <w:t>积极参与</w:t>
      </w:r>
      <w:r>
        <w:rPr>
          <w:rFonts w:hint="eastAsia" w:ascii="仿宋_GB2312" w:hAnsi="仿宋" w:eastAsia="仿宋_GB2312"/>
          <w:sz w:val="32"/>
          <w:szCs w:val="32"/>
        </w:rPr>
        <w:t>学习省级局组织的充电桩计量性能评价技术规范及监督管理工作，认真做好充电桩计量监管试点工作。开展“5</w:t>
      </w:r>
      <w:r>
        <w:rPr>
          <w:rFonts w:hint="eastAsia" w:ascii="微软雅黑" w:hAnsi="微软雅黑" w:eastAsia="微软雅黑" w:cs="微软雅黑"/>
          <w:sz w:val="32"/>
          <w:szCs w:val="32"/>
        </w:rPr>
        <w:t>•</w:t>
      </w:r>
      <w:r>
        <w:rPr>
          <w:rFonts w:hint="eastAsia" w:ascii="仿宋_GB2312" w:hAnsi="仿宋" w:eastAsia="仿宋_GB2312"/>
          <w:sz w:val="32"/>
          <w:szCs w:val="32"/>
        </w:rPr>
        <w:t>20世界计量日”主题宣传。</w:t>
      </w:r>
      <w:r>
        <w:rPr>
          <w:rFonts w:hint="eastAsia" w:ascii="仿宋_GB2312" w:hAnsi="仿宋" w:eastAsia="仿宋_GB2312"/>
          <w:b/>
          <w:sz w:val="32"/>
          <w:szCs w:val="32"/>
        </w:rPr>
        <w:t>（责任单位：计量股）</w:t>
      </w:r>
    </w:p>
    <w:p>
      <w:pPr>
        <w:spacing w:line="540" w:lineRule="exact"/>
        <w:ind w:firstLine="640" w:firstLineChars="200"/>
        <w:rPr>
          <w:rFonts w:ascii="仿宋" w:hAnsi="仿宋" w:eastAsia="仿宋"/>
          <w:sz w:val="32"/>
          <w:szCs w:val="32"/>
        </w:rPr>
      </w:pPr>
      <w:r>
        <w:rPr>
          <w:rFonts w:hint="eastAsia" w:ascii="仿宋_GB2312" w:hAnsi="仿宋" w:eastAsia="仿宋_GB2312"/>
          <w:sz w:val="32"/>
          <w:szCs w:val="32"/>
        </w:rPr>
        <w:t>5.发挥标准化引领作用。引导企业参与制定国家标准、行业标准、地方标准及实施，宣传贯彻标准化法律法规及国家强制性标准，并对实施情况进行监督管理。指导企业做好产品标准自我公开声明，推动落实企业主体责任，提升企业产品质量；加强对全市检验检测机构的日常监督管理，宣传贯彻认证认可法律法规，配合上级部门做好对检验检测机构的年度“双随机，一公开”监督检查；协助查处检验检测机构的违法行为。</w:t>
      </w:r>
      <w:r>
        <w:rPr>
          <w:rFonts w:hint="eastAsia" w:ascii="仿宋_GB2312" w:hAnsi="仿宋" w:eastAsia="仿宋_GB2312"/>
          <w:b/>
          <w:sz w:val="32"/>
          <w:szCs w:val="32"/>
        </w:rPr>
        <w:t>(责任单位:标准化认证认可股)</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加强知识产权创造、运用和保护。积极引导企业参与“我喜爱的湖北品牌”电视大赛、全省地理标志大会暨品牌培育创新大赛，进一步挖掘广水品牌文化内涵，密切品牌和消费者的联系，发挥品牌在引领全区经济发展中的重要作用，创新实施知识产权高价值专利培育工程、专利转化运用工程、企业知识产权护航工程、品牌培育工程、服务能力提升工程“五大工程”。优化知识产权政策扶持，及时兑现知识产权创造奖补政策，进一步增强市场主体研发创新的积极性。</w:t>
      </w:r>
      <w:r>
        <w:rPr>
          <w:rFonts w:hint="eastAsia" w:ascii="仿宋_GB2312" w:hAnsi="方正仿宋_GBK" w:eastAsia="仿宋_GB2312" w:cs="方正仿宋_GBK"/>
          <w:sz w:val="32"/>
          <w:szCs w:val="32"/>
        </w:rPr>
        <w:t>实施“广水精品”培育行动，争创“湖北精品”，创新开展广告业与其他产业线上线下需求对接工作，深化地理标志</w:t>
      </w:r>
      <w:r>
        <w:rPr>
          <w:rFonts w:hint="eastAsia" w:ascii="仿宋_GB2312" w:hAnsi="仿宋_GB2312" w:eastAsia="仿宋_GB2312" w:cs="仿宋_GB2312"/>
          <w:sz w:val="32"/>
          <w:szCs w:val="32"/>
        </w:rPr>
        <w:t>助力乡村振兴活动</w:t>
      </w:r>
      <w:r>
        <w:rPr>
          <w:rFonts w:hint="eastAsia" w:ascii="仿宋_GB2312" w:hAnsi="方正仿宋_GBK" w:eastAsia="仿宋_GB2312" w:cs="方正仿宋_GBK"/>
          <w:sz w:val="32"/>
          <w:szCs w:val="32"/>
        </w:rPr>
        <w:t>。</w:t>
      </w:r>
      <w:r>
        <w:rPr>
          <w:rFonts w:hint="eastAsia" w:ascii="仿宋_GB2312" w:hAnsi="仿宋" w:eastAsia="仿宋_GB2312"/>
          <w:sz w:val="32"/>
          <w:szCs w:val="32"/>
        </w:rPr>
        <w:t>组织规模以上企业知识产权专员培训，指导企业挖掘申报发明专利成果。引导支持市场主体充分运用动产抵押等方式融资，解决市场主体在创业、创新发展中的融资难题。联合相关职能部门举办4.26知识产权宣传周、知识产权服务“万里行”“楚天行”等主题宣传活动。</w:t>
      </w:r>
      <w:r>
        <w:rPr>
          <w:rFonts w:hint="eastAsia" w:ascii="仿宋_GB2312" w:hAnsi="仿宋" w:eastAsia="仿宋_GB2312"/>
          <w:b/>
          <w:sz w:val="32"/>
          <w:szCs w:val="32"/>
        </w:rPr>
        <w:t>(责任单位:知识产权股)</w:t>
      </w:r>
    </w:p>
    <w:p>
      <w:pPr>
        <w:keepNext/>
        <w:pBdr>
          <w:bottom w:val="single" w:color="FFFFFF" w:sz="4" w:space="30"/>
        </w:pBdr>
        <w:tabs>
          <w:tab w:val="left" w:pos="1980"/>
        </w:tabs>
        <w:adjustRightInd w:val="0"/>
        <w:snapToGrid w:val="0"/>
        <w:spacing w:line="540" w:lineRule="exact"/>
        <w:ind w:firstLine="640" w:firstLineChars="200"/>
        <w:rPr>
          <w:rFonts w:ascii="黑体" w:hAnsi="黑体" w:eastAsia="黑体"/>
          <w:sz w:val="32"/>
          <w:szCs w:val="32"/>
        </w:rPr>
      </w:pPr>
      <w:r>
        <w:rPr>
          <w:rFonts w:hint="eastAsia" w:ascii="黑体" w:hAnsi="黑体" w:eastAsia="黑体"/>
          <w:sz w:val="32"/>
          <w:szCs w:val="32"/>
        </w:rPr>
        <w:t>三、提升监管效能，推进竞争环境公平有序</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7.持续改善消费环境。发挥12315平台对接集成优势，推动数据“向需流动”，精准服务监管执法。落实《市场监督管理投诉举报处理暂行办法》，规范消费投诉和举报办理流程。严格落实“诉转案”规定，确保有案必查。持续开展“放心消费在随州”活动，完成3个地市级消费维权站、5个县级消费维权站的创建工作。</w:t>
      </w:r>
      <w:r>
        <w:rPr>
          <w:rFonts w:hint="eastAsia" w:ascii="仿宋_GB2312" w:hAnsi="仿宋" w:eastAsia="仿宋_GB2312"/>
          <w:b/>
          <w:sz w:val="32"/>
          <w:szCs w:val="32"/>
        </w:rPr>
        <w:t>(责任单位:消保股、消委会秘书处、各基层所、综合执法大队)</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8.全面落实公平竞争审查制度。根据“谁制定，谁清理”的原则，防止出台排除、限制市场竞争的政策措施，保障市场主体和个体工商户在资源配置中平等参与，实现效益最大化和效率最优化。配合上级开展反垄断调查，坚决纠正指定交易、妨碍生产要素市场化配置和商品服务自由流通，以及招投标、政府采购领域滥用行政权力排除、限制竞争等行为。</w:t>
      </w:r>
      <w:r>
        <w:rPr>
          <w:rFonts w:hint="eastAsia" w:ascii="仿宋_GB2312" w:hAnsi="仿宋" w:eastAsia="仿宋_GB2312"/>
          <w:b/>
          <w:sz w:val="32"/>
          <w:szCs w:val="32"/>
        </w:rPr>
        <w:t>（责任单位：价监股、各基层所、综合执法大队）</w:t>
      </w:r>
    </w:p>
    <w:p>
      <w:pPr>
        <w:keepNext/>
        <w:pBdr>
          <w:bottom w:val="single" w:color="FFFFFF" w:sz="4" w:space="30"/>
        </w:pBdr>
        <w:tabs>
          <w:tab w:val="left" w:pos="1980"/>
        </w:tabs>
        <w:adjustRightInd w:val="0"/>
        <w:snapToGrid w:val="0"/>
        <w:spacing w:line="540" w:lineRule="exact"/>
        <w:ind w:firstLine="640" w:firstLineChars="200"/>
        <w:rPr>
          <w:rFonts w:ascii="仿宋_GB2312" w:eastAsia="仿宋_GB2312"/>
        </w:rPr>
      </w:pPr>
      <w:r>
        <w:rPr>
          <w:rFonts w:hint="eastAsia" w:ascii="仿宋_GB2312" w:hAnsi="仿宋" w:eastAsia="仿宋_GB2312"/>
          <w:sz w:val="32"/>
          <w:szCs w:val="32"/>
        </w:rPr>
        <w:t>9.加强价格监管。扎实推进涉疫药品和医疗用品稳价保质专项行动，开展以水电气暖领域为重点的涉企违规收费治理，以重要民生商品、医疗卫生为重点的民生领域价格行为监管，加强反垄断相关法律法规宣传，收集垄断线索。</w:t>
      </w:r>
      <w:r>
        <w:rPr>
          <w:rFonts w:hint="eastAsia" w:ascii="仿宋_GB2312" w:hAnsi="仿宋" w:eastAsia="仿宋_GB2312"/>
          <w:b/>
          <w:sz w:val="32"/>
          <w:szCs w:val="32"/>
        </w:rPr>
        <w:t>(责任单位: 价监竞争股、各基层所、综合执法大队)</w:t>
      </w:r>
      <w:r>
        <w:rPr>
          <w:rFonts w:hint="eastAsia" w:ascii="仿宋_GB2312" w:eastAsia="仿宋_GB2312"/>
          <w:b/>
        </w:rPr>
        <w:t xml:space="preserve"> </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10.完善信用监管机制。</w:t>
      </w:r>
      <w:r>
        <w:rPr>
          <w:rFonts w:hint="eastAsia" w:ascii="仿宋_GB2312" w:hAnsi="方正仿宋_GBK" w:eastAsia="仿宋_GB2312" w:cs="方正仿宋_GBK"/>
          <w:sz w:val="32"/>
          <w:szCs w:val="32"/>
        </w:rPr>
        <w:t>深化市场监管领域部门联合和市场监管部门双随机监管,部门联合抽查任务占所有双随机抽查任务数不低于35%,抽查计划覆盖全部抽查事项90%以上。深化信用提升行动,加强严重违法失信名单管理,行政处罚信息公示率达100%。加强市场主体年报公示工作,推广应用手机年报小程序, 2022年度市场主体综合年报率不低于92%。</w:t>
      </w:r>
      <w:r>
        <w:rPr>
          <w:rFonts w:hint="eastAsia" w:ascii="仿宋_GB2312" w:hAnsi="仿宋" w:eastAsia="仿宋_GB2312"/>
          <w:b/>
          <w:sz w:val="32"/>
          <w:szCs w:val="32"/>
        </w:rPr>
        <w:t>(责任单位:信用监管股、各基层所、综合执法大队)</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11.强化重点领域监管执法。开展民生领域案件查办“铁拳”行动，聚焦民意最盼、危害最大、市场监管风险和压力最大的重点商品、重点领域和重点行业，严厉查处食用油掺杂掺假、食品非法添加、油品质量违法、“神医”“神药”等虚假违法广告、医疗美容领域虚假宣传、翻新“黑气瓶”、超期未检电梯、面向未成年人开展“无底线营销”等违法行为，查办一批“铁案”。</w:t>
      </w:r>
      <w:r>
        <w:rPr>
          <w:rFonts w:hint="eastAsia" w:ascii="仿宋_GB2312" w:hAnsi="仿宋" w:eastAsia="仿宋_GB2312"/>
          <w:b/>
          <w:sz w:val="32"/>
          <w:szCs w:val="32"/>
        </w:rPr>
        <w:t>（责任单位：法规股、执法稽查股、广告股、各基层所、综合执法大队）</w:t>
      </w:r>
    </w:p>
    <w:p>
      <w:pPr>
        <w:keepNext/>
        <w:pBdr>
          <w:bottom w:val="single" w:color="FFFFFF" w:sz="4" w:space="30"/>
        </w:pBdr>
        <w:tabs>
          <w:tab w:val="left" w:pos="1980"/>
        </w:tabs>
        <w:adjustRightInd w:val="0"/>
        <w:snapToGrid w:val="0"/>
        <w:spacing w:line="540" w:lineRule="exact"/>
        <w:ind w:firstLine="640" w:firstLineChars="200"/>
        <w:rPr>
          <w:rFonts w:ascii="黑体" w:hAnsi="黑体" w:eastAsia="黑体"/>
          <w:sz w:val="32"/>
          <w:szCs w:val="32"/>
        </w:rPr>
      </w:pPr>
      <w:r>
        <w:rPr>
          <w:rFonts w:hint="eastAsia" w:ascii="黑体" w:hAnsi="黑体" w:eastAsia="黑体"/>
          <w:sz w:val="32"/>
          <w:szCs w:val="32"/>
        </w:rPr>
        <w:t>四、保障民生福祉，推进安全监管共同缔造</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12.抓严食品安全监管。统筹实施“食品安全放心工程”，推动食品安全“两个责任”落实，推动省级食品安全示范创建。深化食品安全“守查保”专项行动，健全食品生产监管闭环管理，推进食品销售主体风险和信用分级管理，以及餐饮服务食品安全风险分级信用分类量化等级管理。推进“一桌餐”“私房菜”“农家乐”“私人会所”等无证无照餐饮单位专项整治工作。持续推进我市食品生产加工小作坊转型升级提质壮大工作，加大农村食品安全监管力度，扩大“互联网+明厨亮灶”覆盖面，打造“你点鄂检”“智能快检”等特色品牌。食品安全抽检量达到每千人3 批次，监督抽检数据公示率、核查处置率100%。组织应急演练和现场培训，提升应急处置能力，确保不发生区域性、系统性食品安全事故。</w:t>
      </w:r>
      <w:r>
        <w:rPr>
          <w:rFonts w:hint="eastAsia" w:ascii="仿宋_GB2312" w:hAnsi="仿宋" w:eastAsia="仿宋_GB2312"/>
          <w:b/>
          <w:sz w:val="32"/>
          <w:szCs w:val="32"/>
        </w:rPr>
        <w:t>(责任单位:协调应急股、食品生产股、食品流通股、餐饮股、各基层所、综合执法大队)</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13.抓实药品、医疗器械安全监管。紧盯疫苗、特殊药品和疫情防控药械等高风险品种，开展药品安全专项整治行动，加强疫苗、特殊药品、儿童及特殊化妆品等高风险品种监管，严厉打击非正规渠道购进药品和高温季节未按要求储存药品的专项整治工作。加大二类经营企业备案后的现场核查工作，倡导一趟实效，即备案人跑一趟领证即可。开展医疗器械“线上清网线下规范”行动，推进清单化管理，加强疫情防控、无菌和植入性、冷链管理、网络销售的隐患排查治理。提升化妆品监管能力，加大美容美发机构、大型商超等化妆品经营使用单位专项检查力度，做好不良反应监测上报工作。</w:t>
      </w:r>
      <w:r>
        <w:rPr>
          <w:rFonts w:hint="eastAsia" w:ascii="仿宋_GB2312" w:hAnsi="仿宋" w:eastAsia="仿宋_GB2312"/>
          <w:b/>
          <w:sz w:val="32"/>
          <w:szCs w:val="32"/>
        </w:rPr>
        <w:t>（责任单位：药品监管股、医疗器械股、各基层所、综合执法大队）</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14.抓牢特种设备安全监管。持续开展特种设备安全专项整治三年行动，加强城镇燃气涉及的锅炉、燃气压力容器、压力管道、气瓶等安全隐患排查整治工作；加强天然气保供企业压力容器、压力管道等特种设备安全风险防控工作。推进特种设备标准化信息化监管，确保特种设备应登尽登、应检尽检。全面应用特种设备智慧监管系统,推动电梯应急处置平台全省全覆盖,推进电梯安全监管。</w:t>
      </w:r>
      <w:r>
        <w:rPr>
          <w:rFonts w:hint="eastAsia" w:ascii="仿宋_GB2312" w:hAnsi="仿宋" w:eastAsia="仿宋_GB2312"/>
          <w:b/>
          <w:sz w:val="32"/>
          <w:szCs w:val="32"/>
        </w:rPr>
        <w:t>（责任单位：特设股、各基层所、综合执法大队）</w:t>
      </w:r>
    </w:p>
    <w:p>
      <w:pPr>
        <w:keepNext/>
        <w:pBdr>
          <w:bottom w:val="single" w:color="FFFFFF" w:sz="4" w:space="30"/>
        </w:pBdr>
        <w:tabs>
          <w:tab w:val="left" w:pos="1980"/>
        </w:tabs>
        <w:adjustRightInd w:val="0"/>
        <w:snapToGrid w:val="0"/>
        <w:spacing w:line="540" w:lineRule="exact"/>
        <w:ind w:firstLine="640" w:firstLineChars="200"/>
        <w:rPr>
          <w:rFonts w:ascii="仿宋" w:hAnsi="仿宋" w:eastAsia="仿宋"/>
          <w:sz w:val="32"/>
          <w:szCs w:val="32"/>
        </w:rPr>
      </w:pPr>
      <w:r>
        <w:rPr>
          <w:rFonts w:hint="eastAsia" w:ascii="仿宋_GB2312" w:hAnsi="仿宋" w:eastAsia="仿宋_GB2312"/>
          <w:sz w:val="32"/>
          <w:szCs w:val="32"/>
        </w:rPr>
        <w:t>15.抓细重点产品质量安全治理。结合产业布局，持续开展质量安全专项整治，围绕烟花爆竹、钢筋、水泥、化肥、成品油、电动自行车、消防器材、燃气燃具及燃气泄漏报警器、食品等涉及安全环保的产品，以及老幼妇、病残孕等重点人群用品、电商直播产品，实施线上线下一体监管、双向追溯。</w:t>
      </w:r>
      <w:r>
        <w:rPr>
          <w:rFonts w:hint="eastAsia" w:ascii="仿宋_GB2312" w:hAnsi="仿宋" w:eastAsia="仿宋_GB2312"/>
          <w:b/>
          <w:sz w:val="32"/>
          <w:szCs w:val="32"/>
        </w:rPr>
        <w:t>（责任单位：质量股、各基层所、综合执法大队）</w:t>
      </w:r>
    </w:p>
    <w:p>
      <w:pPr>
        <w:keepNext/>
        <w:pBdr>
          <w:bottom w:val="single" w:color="FFFFFF" w:sz="4" w:space="30"/>
        </w:pBdr>
        <w:tabs>
          <w:tab w:val="left" w:pos="1980"/>
        </w:tabs>
        <w:adjustRightInd w:val="0"/>
        <w:snapToGrid w:val="0"/>
        <w:spacing w:line="540" w:lineRule="exact"/>
        <w:ind w:firstLine="640" w:firstLineChars="200"/>
        <w:rPr>
          <w:rFonts w:ascii="黑体" w:hAnsi="黑体" w:eastAsia="黑体"/>
          <w:sz w:val="32"/>
          <w:szCs w:val="32"/>
        </w:rPr>
      </w:pPr>
      <w:r>
        <w:rPr>
          <w:rFonts w:hint="eastAsia" w:ascii="黑体" w:hAnsi="黑体" w:eastAsia="黑体"/>
          <w:sz w:val="32"/>
          <w:szCs w:val="32"/>
        </w:rPr>
        <w:t>五、提升履职能力，推进模范机关扎实创建</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16.加强政治机关建设。坚持以习近平新时代中国特色社会主义思想为指导，常态化长效化巩固拓展党史学习教育成果，全面学习贯彻党的二十大精神，严格落实意识形态工作责任制，严密防范意识形态领域风险。持续深化党支部标准化规范化建设坚持党建带群建，支持工会、共青团、妇委会等群团组织更好发挥作用。用心用情做好老干部工作，认真听取离退休干部的意见，落实离退休干部的政治生活待遇。深入开展精神文明创建，大力开展文明城市和卫生城市创建，全面巩固拓展脱贫攻坚成果，大力推进乡村振兴。</w:t>
      </w:r>
      <w:r>
        <w:rPr>
          <w:rFonts w:hint="eastAsia" w:ascii="仿宋_GB2312" w:hAnsi="仿宋" w:eastAsia="仿宋_GB2312"/>
          <w:b/>
          <w:sz w:val="32"/>
          <w:szCs w:val="32"/>
        </w:rPr>
        <w:t>(责任单位: 机关党委、办公室、老干股、协调应急股、综合规划股)</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b/>
          <w:sz w:val="32"/>
          <w:szCs w:val="32"/>
        </w:rPr>
      </w:pPr>
      <w:r>
        <w:rPr>
          <w:rFonts w:hint="eastAsia" w:ascii="仿宋_GB2312" w:hAnsi="仿宋" w:eastAsia="仿宋_GB2312"/>
          <w:sz w:val="32"/>
          <w:szCs w:val="32"/>
        </w:rPr>
        <w:t>17.加强清廉机关建设。积极支持派驻纪检监察组履行监督职责。强化党员干部教育管理监督,教育引导党员干部筑牢防线守住底线、不越红线。锲而不舍贯彻落实中央八项规定精神及省委实施细则，持之以恒纠治“四风”，厉行节约，反对铺张浪费,扎实开展违规吃喝问题专项整治，深化运用监督执纪“四种形态”，一体推进不敢腐、不能腐、不想腐，建设好正实优的清廉机关。扎实开展市委巡察问题整改，压实整改责任，确保巡察问题整改到位。</w:t>
      </w:r>
      <w:r>
        <w:rPr>
          <w:rFonts w:hint="eastAsia" w:ascii="仿宋_GB2312" w:hAnsi="仿宋" w:eastAsia="仿宋_GB2312"/>
          <w:b/>
          <w:sz w:val="32"/>
          <w:szCs w:val="32"/>
        </w:rPr>
        <w:t>(责任单位:机关党委、各股室、局属各单位)</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18.加强效能机关建设。大力推进争先进位和市场监管系统品牌建设活动，形成比学赶超、争先创优的浓厚氛围。加强政务后勤、信息和技术保障，为完成年度工作提供良好服务。强化综合协调、督查考核，扎实做好国家安全工作、平安建设(综合治理工作)、信访维稳、档案标准化工作，全力维护和谐稳定的社会环境。严格落实保密工作责任制，持续完善党管保密工作机制，坚决推进精文减会，持续为基层减负。加大对外宣传力度，加强舆情监测处置，做好新闻宣传、政务信息工作，讲好市场监管故事。健全完善政务公开和门户网站管理机制，更好发挥以公开促落实、强监管的积极作用。推进“十四五”市场监管规划落实，推进基层市场监管所标准化、规范化建设。开展能力提升活动，开展岗位练兵比武和技能竞赛，实现全市系统所有干部培训全覆盖。严格落实过“紧日子”要求，建立健全预算绩效全流程监管体系，增强机关经费统筹能力。</w:t>
      </w:r>
      <w:r>
        <w:rPr>
          <w:rFonts w:hint="eastAsia" w:ascii="仿宋_GB2312" w:hAnsi="仿宋" w:eastAsia="仿宋_GB2312"/>
          <w:b/>
          <w:sz w:val="32"/>
          <w:szCs w:val="32"/>
        </w:rPr>
        <w:t>(责任单位:办公室、综合规划股、人事股、财务股、信息中心)</w:t>
      </w:r>
    </w:p>
    <w:p>
      <w:pPr>
        <w:keepNext/>
        <w:pBdr>
          <w:bottom w:val="single" w:color="FFFFFF" w:sz="4" w:space="30"/>
        </w:pBdr>
        <w:tabs>
          <w:tab w:val="left" w:pos="1980"/>
        </w:tabs>
        <w:adjustRightInd w:val="0"/>
        <w:snapToGrid w:val="0"/>
        <w:spacing w:line="540" w:lineRule="exact"/>
        <w:ind w:firstLine="640" w:firstLineChars="200"/>
        <w:rPr>
          <w:rFonts w:ascii="仿宋_GB2312" w:hAnsi="仿宋" w:eastAsia="仿宋_GB2312"/>
          <w:b/>
          <w:sz w:val="32"/>
          <w:szCs w:val="32"/>
        </w:rPr>
      </w:pPr>
      <w:r>
        <w:rPr>
          <w:rFonts w:hint="eastAsia" w:ascii="仿宋_GB2312" w:hAnsi="仿宋" w:eastAsia="仿宋_GB2312"/>
          <w:sz w:val="32"/>
          <w:szCs w:val="32"/>
        </w:rPr>
        <w:t>19.加强法治机关建设。深入开展“八五”普法工作，加强法律法规培训，提升干部职工依法行政意识。落实重大执法案件集体讨论和重大行政执法法制审核制度,健全规范性文件管理制度，确保规范性文件的合法性和时效性。健全裁量基准等行政执法制度建设，强化</w:t>
      </w:r>
      <w:r>
        <w:rPr>
          <w:rFonts w:hint="eastAsia" w:ascii="仿宋_GB2312" w:hAnsi="仿宋" w:eastAsia="仿宋_GB2312"/>
          <w:sz w:val="32"/>
          <w:szCs w:val="32"/>
          <w:lang w:eastAsia="zh-CN"/>
        </w:rPr>
        <w:t>法治</w:t>
      </w:r>
      <w:r>
        <w:rPr>
          <w:rFonts w:hint="eastAsia" w:ascii="仿宋_GB2312" w:hAnsi="仿宋" w:eastAsia="仿宋_GB2312"/>
          <w:sz w:val="32"/>
          <w:szCs w:val="32"/>
        </w:rPr>
        <w:t>监督，不断完善轻微违法行为容错机制,促进严格规范公正文明执法。</w:t>
      </w:r>
      <w:r>
        <w:rPr>
          <w:rFonts w:hint="eastAsia" w:ascii="仿宋_GB2312" w:hAnsi="仿宋" w:eastAsia="仿宋_GB2312"/>
          <w:b/>
          <w:sz w:val="32"/>
          <w:szCs w:val="32"/>
        </w:rPr>
        <w:t>(责任单位:法规股、稽查股、综合执法大队)</w:t>
      </w: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pPr>
    </w:p>
    <w:p>
      <w:pPr>
        <w:spacing w:line="560" w:lineRule="exact"/>
        <w:ind w:firstLine="420" w:firstLineChars="200"/>
        <w:rPr>
          <w:rFonts w:ascii="等线" w:hAnsi="等线" w:eastAsia="等线"/>
        </w:rPr>
      </w:pPr>
    </w:p>
    <w:p>
      <w:pPr>
        <w:spacing w:line="560" w:lineRule="exact"/>
        <w:ind w:firstLine="420" w:firstLineChars="200"/>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rPr>
          <w:rFonts w:ascii="仿宋" w:hAnsi="仿宋" w:eastAsia="仿宋" w:cs="Times New Roman"/>
          <w:sz w:val="28"/>
          <w:szCs w:val="28"/>
        </w:rPr>
      </w:pPr>
      <w:r>
        <w:rPr>
          <w:rFonts w:ascii="等线" w:hAnsi="等线" w:eastAsia="等线" w:cs="Times New Roman"/>
        </w:rPr>
        <mc:AlternateContent>
          <mc:Choice Requires="wps">
            <w:drawing>
              <wp:anchor distT="0" distB="0" distL="114300" distR="114300" simplePos="0" relativeHeight="251660288" behindDoc="0" locked="1" layoutInCell="1" allowOverlap="1">
                <wp:simplePos x="0" y="0"/>
                <wp:positionH relativeFrom="column">
                  <wp:posOffset>-228600</wp:posOffset>
                </wp:positionH>
                <wp:positionV relativeFrom="paragraph">
                  <wp:posOffset>10160</wp:posOffset>
                </wp:positionV>
                <wp:extent cx="6057900" cy="0"/>
                <wp:effectExtent l="17780" t="15875" r="10795" b="1270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margin-left:-18pt;margin-top:0.8pt;height:0pt;width:477pt;z-index:251660288;mso-width-relative:page;mso-height-relative:page;" filled="f" stroked="t" coordsize="21600,21600" o:gfxdata="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V5NJ9QA&#10;AAAHAQAADwAAAAAAAAABACAAAAAiAAAAZHJzL2Rvd25yZXYueG1sUEsBAhQAFAAAAAgAh07iQBTu&#10;DOXqAQAAuQMAAA4AAAAAAAAAAQAgAAAAIwEAAGRycy9lMm9Eb2MueG1sUEsFBgAAAAAGAAYAWQEA&#10;AH8FAAAAAA==&#10;">
                <v:fill on="f" focussize="0,0"/>
                <v:stroke weight="1.5pt" color="#000000" joinstyle="round"/>
                <v:imagedata o:title=""/>
                <o:lock v:ext="edit" aspectratio="f"/>
                <w10:anchorlock/>
              </v:line>
            </w:pict>
          </mc:Fallback>
        </mc:AlternateContent>
      </w:r>
      <w:r>
        <w:rPr>
          <w:rFonts w:ascii="等线" w:hAnsi="等线" w:eastAsia="等线" w:cs="Times New Roman"/>
        </w:rPr>
        <mc:AlternateContent>
          <mc:Choice Requires="wps">
            <w:drawing>
              <wp:anchor distT="0" distB="0" distL="114300" distR="114300" simplePos="0" relativeHeight="251659264" behindDoc="0" locked="1" layoutInCell="1" allowOverlap="1">
                <wp:simplePos x="0" y="0"/>
                <wp:positionH relativeFrom="column">
                  <wp:posOffset>-228600</wp:posOffset>
                </wp:positionH>
                <wp:positionV relativeFrom="paragraph">
                  <wp:posOffset>400685</wp:posOffset>
                </wp:positionV>
                <wp:extent cx="6071870" cy="0"/>
                <wp:effectExtent l="17780" t="15875" r="15875" b="12700"/>
                <wp:wrapNone/>
                <wp:docPr id="3" name="直接箭头连接符 3"/>
                <wp:cNvGraphicFramePr/>
                <a:graphic xmlns:a="http://schemas.openxmlformats.org/drawingml/2006/main">
                  <a:graphicData uri="http://schemas.microsoft.com/office/word/2010/wordprocessingShape">
                    <wps:wsp>
                      <wps:cNvCnPr>
                        <a:cxnSpLocks noChangeShapeType="1"/>
                      </wps:cNvCnPr>
                      <wps:spPr bwMode="auto">
                        <a:xfrm>
                          <a:off x="0" y="0"/>
                          <a:ext cx="6071870" cy="0"/>
                        </a:xfrm>
                        <a:prstGeom prst="straightConnector1">
                          <a:avLst/>
                        </a:prstGeom>
                        <a:noFill/>
                        <a:ln w="19050">
                          <a:solidFill>
                            <a:srgbClr val="000000"/>
                          </a:solidFill>
                          <a:round/>
                        </a:ln>
                      </wps:spPr>
                      <wps:bodyPr/>
                    </wps:wsp>
                  </a:graphicData>
                </a:graphic>
              </wp:anchor>
            </w:drawing>
          </mc:Choice>
          <mc:Fallback>
            <w:pict>
              <v:shape id="_x0000_s1026" o:spid="_x0000_s1026" o:spt="32" type="#_x0000_t32" style="position:absolute;left:0pt;margin-left:-18pt;margin-top:31.55pt;height:0pt;width:478.1pt;z-index:251659264;mso-width-relative:page;mso-height-relative:page;" filled="f" stroked="t" coordsize="21600,21600" o:gfxdata="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2PYoXtUAAAAJAQAADwAAAAAAAAABACAAAAAiAAAAZHJzL2Rvd25yZXYueG1sUEsBAhQA&#10;FAAAAAgAh07iQPAJTJL1AQAAvwMAAA4AAAAAAAAAAQAgAAAAJAEAAGRycy9lMm9Eb2MueG1sUEsF&#10;BgAAAAAGAAYAWQEAAIsFAAAAAA==&#10;">
                <v:fill on="f" focussize="0,0"/>
                <v:stroke weight="1.5pt" color="#000000" joinstyle="round"/>
                <v:imagedata o:title=""/>
                <o:lock v:ext="edit" aspectratio="f"/>
                <w10:anchorlock/>
              </v:shape>
            </w:pict>
          </mc:Fallback>
        </mc:AlternateContent>
      </w:r>
      <w:r>
        <w:rPr>
          <w:rFonts w:hint="eastAsia" w:ascii="仿宋" w:hAnsi="仿宋" w:eastAsia="仿宋" w:cs="仿宋"/>
          <w:sz w:val="28"/>
          <w:szCs w:val="28"/>
        </w:rPr>
        <w:t>广水市市场监督管理局办</w:t>
      </w:r>
      <w:r>
        <w:rPr>
          <w:rFonts w:ascii="仿宋" w:hAnsi="仿宋" w:eastAsia="仿宋" w:cs="仿宋"/>
          <w:sz w:val="28"/>
          <w:szCs w:val="28"/>
        </w:rPr>
        <w:t xml:space="preserve">公室       </w:t>
      </w:r>
      <w:r>
        <w:rPr>
          <w:rFonts w:hint="eastAsia" w:ascii="仿宋" w:hAnsi="仿宋" w:eastAsia="仿宋" w:cs="仿宋"/>
          <w:sz w:val="28"/>
          <w:szCs w:val="28"/>
        </w:rPr>
        <w:t xml:space="preserve">   </w:t>
      </w:r>
      <w:r>
        <w:rPr>
          <w:rFonts w:ascii="仿宋" w:hAnsi="仿宋" w:eastAsia="仿宋" w:cs="仿宋"/>
          <w:sz w:val="28"/>
          <w:szCs w:val="28"/>
        </w:rPr>
        <w:t xml:space="preserve">       202</w:t>
      </w:r>
      <w:r>
        <w:rPr>
          <w:rFonts w:hint="eastAsia" w:ascii="仿宋" w:hAnsi="仿宋" w:eastAsia="仿宋" w:cs="仿宋"/>
          <w:sz w:val="28"/>
          <w:szCs w:val="28"/>
        </w:rPr>
        <w:t>3年2月20日印发</w:t>
      </w:r>
    </w:p>
    <w:sectPr>
      <w:footerReference r:id="rId3" w:type="default"/>
      <w:footerReference r:id="rId4" w:type="even"/>
      <w:pgSz w:w="11906" w:h="16838"/>
      <w:pgMar w:top="2098" w:right="1474" w:bottom="1985" w:left="1588" w:header="851" w:footer="62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S Mincho">
    <w:panose1 w:val="02020609040205080304"/>
    <w:charset w:val="80"/>
    <w:family w:val="modern"/>
    <w:pitch w:val="default"/>
    <w:sig w:usb0="A00002BF" w:usb1="68C7FCFB" w:usb2="00000010" w:usb3="00000000" w:csb0="4002009F" w:csb1="DFD7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4067035"/>
      <w:docPartObj>
        <w:docPartGallery w:val="AutoText"/>
      </w:docPartObj>
    </w:sdtPr>
    <w:sdtEndPr>
      <w:rPr>
        <w:rFonts w:asciiTheme="minorEastAsia" w:hAnsiTheme="minorEastAsia"/>
        <w:sz w:val="30"/>
        <w:szCs w:val="30"/>
      </w:rPr>
    </w:sdtEndPr>
    <w:sdtContent>
      <w:p>
        <w:pPr>
          <w:pStyle w:val="4"/>
          <w:jc w:val="right"/>
          <w:rPr>
            <w:rFonts w:asciiTheme="minorEastAsia" w:hAnsiTheme="minorEastAsia"/>
            <w:sz w:val="30"/>
            <w:szCs w:val="30"/>
          </w:rPr>
        </w:pPr>
        <w:r>
          <w:rPr>
            <w:rFonts w:asciiTheme="minorEastAsia" w:hAnsiTheme="minorEastAsia"/>
            <w:sz w:val="30"/>
            <w:szCs w:val="30"/>
          </w:rPr>
          <w:fldChar w:fldCharType="begin"/>
        </w:r>
        <w:r>
          <w:rPr>
            <w:rFonts w:asciiTheme="minorEastAsia" w:hAnsiTheme="minorEastAsia"/>
            <w:sz w:val="30"/>
            <w:szCs w:val="30"/>
          </w:rPr>
          <w:instrText xml:space="preserve">PAGE   \* MERGEFORMAT</w:instrText>
        </w:r>
        <w:r>
          <w:rPr>
            <w:rFonts w:asciiTheme="minorEastAsia" w:hAnsiTheme="minorEastAsia"/>
            <w:sz w:val="30"/>
            <w:szCs w:val="30"/>
          </w:rPr>
          <w:fldChar w:fldCharType="separate"/>
        </w:r>
        <w:r>
          <w:rPr>
            <w:rFonts w:asciiTheme="minorEastAsia" w:hAnsiTheme="minorEastAsia"/>
            <w:sz w:val="30"/>
            <w:szCs w:val="30"/>
            <w:lang w:val="zh-CN"/>
          </w:rPr>
          <w:t>-</w:t>
        </w:r>
        <w:r>
          <w:rPr>
            <w:rFonts w:asciiTheme="minorEastAsia" w:hAnsiTheme="minorEastAsia"/>
            <w:sz w:val="30"/>
            <w:szCs w:val="30"/>
          </w:rPr>
          <w:t xml:space="preserve"> 9 -</w:t>
        </w:r>
        <w:r>
          <w:rPr>
            <w:rFonts w:asciiTheme="minorEastAsia" w:hAnsiTheme="minorEastAsia"/>
            <w:sz w:val="30"/>
            <w:szCs w:val="30"/>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2035870"/>
      <w:docPartObj>
        <w:docPartGallery w:val="AutoText"/>
      </w:docPartObj>
    </w:sdtPr>
    <w:sdtEndPr>
      <w:rPr>
        <w:rFonts w:asciiTheme="minorEastAsia" w:hAnsiTheme="minorEastAsia"/>
        <w:sz w:val="30"/>
        <w:szCs w:val="30"/>
      </w:rPr>
    </w:sdtEndPr>
    <w:sdtContent>
      <w:p>
        <w:pPr>
          <w:pStyle w:val="4"/>
          <w:ind w:right="360"/>
          <w:rPr>
            <w:rFonts w:asciiTheme="minorEastAsia" w:hAnsiTheme="minorEastAsia"/>
            <w:sz w:val="30"/>
            <w:szCs w:val="30"/>
          </w:rPr>
        </w:pPr>
        <w:r>
          <w:rPr>
            <w:rFonts w:asciiTheme="minorEastAsia" w:hAnsiTheme="minorEastAsia"/>
            <w:sz w:val="30"/>
            <w:szCs w:val="30"/>
          </w:rPr>
          <w:fldChar w:fldCharType="begin"/>
        </w:r>
        <w:r>
          <w:rPr>
            <w:rFonts w:asciiTheme="minorEastAsia" w:hAnsiTheme="minorEastAsia"/>
            <w:sz w:val="30"/>
            <w:szCs w:val="30"/>
          </w:rPr>
          <w:instrText xml:space="preserve">PAGE   \* MERGEFORMAT</w:instrText>
        </w:r>
        <w:r>
          <w:rPr>
            <w:rFonts w:asciiTheme="minorEastAsia" w:hAnsiTheme="minorEastAsia"/>
            <w:sz w:val="30"/>
            <w:szCs w:val="30"/>
          </w:rPr>
          <w:fldChar w:fldCharType="separate"/>
        </w:r>
        <w:r>
          <w:rPr>
            <w:rFonts w:asciiTheme="minorEastAsia" w:hAnsiTheme="minorEastAsia"/>
            <w:sz w:val="30"/>
            <w:szCs w:val="30"/>
            <w:lang w:val="zh-CN"/>
          </w:rPr>
          <w:t>-</w:t>
        </w:r>
        <w:r>
          <w:rPr>
            <w:rFonts w:asciiTheme="minorEastAsia" w:hAnsiTheme="minorEastAsia"/>
            <w:sz w:val="30"/>
            <w:szCs w:val="30"/>
          </w:rPr>
          <w:t xml:space="preserve"> 8 -</w:t>
        </w:r>
        <w:r>
          <w:rPr>
            <w:rFonts w:asciiTheme="minorEastAsia" w:hAnsiTheme="minorEastAsia"/>
            <w:sz w:val="30"/>
            <w:szCs w:val="30"/>
          </w:rPr>
          <w:fldChar w:fldCharType="end"/>
        </w:r>
      </w:p>
    </w:sdtContent>
  </w:sdt>
  <w:p>
    <w:pPr>
      <w:pStyle w:val="4"/>
      <w:ind w:firstLine="360" w:firstLineChars="20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wNmJjMDk0ODFlMjVhYjRjMzY0ZDhjMzA4N2E5MGEifQ=="/>
  </w:docVars>
  <w:rsids>
    <w:rsidRoot w:val="00DA23D7"/>
    <w:rsid w:val="00082108"/>
    <w:rsid w:val="00213CCE"/>
    <w:rsid w:val="00250EAB"/>
    <w:rsid w:val="0032548D"/>
    <w:rsid w:val="004466E6"/>
    <w:rsid w:val="00493311"/>
    <w:rsid w:val="004D487E"/>
    <w:rsid w:val="005362D2"/>
    <w:rsid w:val="006343C3"/>
    <w:rsid w:val="00696DF4"/>
    <w:rsid w:val="006D0239"/>
    <w:rsid w:val="00743964"/>
    <w:rsid w:val="0084617A"/>
    <w:rsid w:val="008633DB"/>
    <w:rsid w:val="00997B07"/>
    <w:rsid w:val="00A26231"/>
    <w:rsid w:val="00A83303"/>
    <w:rsid w:val="00B8276E"/>
    <w:rsid w:val="00BB1A08"/>
    <w:rsid w:val="00BC4FB2"/>
    <w:rsid w:val="00C861B7"/>
    <w:rsid w:val="00CE6940"/>
    <w:rsid w:val="00CE6E08"/>
    <w:rsid w:val="00D52BCC"/>
    <w:rsid w:val="00D739AB"/>
    <w:rsid w:val="00DA23D7"/>
    <w:rsid w:val="00DB3863"/>
    <w:rsid w:val="00E267F0"/>
    <w:rsid w:val="00EB2F7F"/>
    <w:rsid w:val="00F0743E"/>
    <w:rsid w:val="00F45EB3"/>
    <w:rsid w:val="00F506AD"/>
    <w:rsid w:val="00F91AA7"/>
    <w:rsid w:val="366C4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rPr>
      <w:rFonts w:ascii="Calibri" w:hAnsi="Calibri" w:eastAsia="宋体" w:cs="Times New Roman"/>
      <w:szCs w:val="24"/>
    </w:rPr>
  </w:style>
  <w:style w:type="paragraph" w:styleId="3">
    <w:name w:val="Body Text Indent"/>
    <w:basedOn w:val="1"/>
    <w:link w:val="11"/>
    <w:semiHidden/>
    <w:unhideWhenUsed/>
    <w:qFormat/>
    <w:uiPriority w:val="99"/>
    <w:pPr>
      <w:spacing w:after="120"/>
      <w:ind w:left="420" w:leftChars="200"/>
    </w:p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next w:val="1"/>
    <w:link w:val="12"/>
    <w:qFormat/>
    <w:uiPriority w:val="99"/>
    <w:pPr>
      <w:ind w:firstLine="210"/>
    </w:pPr>
    <w:rPr>
      <w:rFonts w:ascii="Times New Roman" w:hAnsi="Calibri" w:eastAsia="宋体" w:cs="Times New Roman"/>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正文文本缩进 字符"/>
    <w:basedOn w:val="8"/>
    <w:link w:val="3"/>
    <w:semiHidden/>
    <w:uiPriority w:val="99"/>
  </w:style>
  <w:style w:type="character" w:customStyle="1" w:styleId="12">
    <w:name w:val="正文首行缩进 2 字符"/>
    <w:basedOn w:val="11"/>
    <w:link w:val="6"/>
    <w:uiPriority w:val="99"/>
    <w:rPr>
      <w:rFonts w:ascii="Times New Roman" w:hAnsi="Calibri" w:eastAsia="宋体" w:cs="Times New Roman"/>
      <w:szCs w:val="24"/>
    </w:rPr>
  </w:style>
  <w:style w:type="paragraph" w:styleId="13">
    <w:name w:val="Intense Quote"/>
    <w:basedOn w:val="1"/>
    <w:next w:val="1"/>
    <w:link w:val="14"/>
    <w:qFormat/>
    <w:uiPriority w:val="30"/>
    <w:pPr>
      <w:pBdr>
        <w:top w:val="single" w:color="4F81BD" w:themeColor="accent1" w:sz="4" w:space="10"/>
        <w:bottom w:val="single" w:color="4F81BD" w:themeColor="accent1" w:sz="4" w:space="10"/>
      </w:pBdr>
      <w:spacing w:before="360" w:after="360"/>
      <w:ind w:left="864" w:right="864"/>
      <w:jc w:val="center"/>
    </w:pPr>
    <w:rPr>
      <w:i/>
      <w:iCs/>
      <w:color w:val="4F81BD" w:themeColor="accent1"/>
      <w14:textFill>
        <w14:solidFill>
          <w14:schemeClr w14:val="accent1"/>
        </w14:solidFill>
      </w14:textFill>
    </w:rPr>
  </w:style>
  <w:style w:type="character" w:customStyle="1" w:styleId="14">
    <w:name w:val="明显引用 字符"/>
    <w:basedOn w:val="8"/>
    <w:link w:val="13"/>
    <w:uiPriority w:val="30"/>
    <w:rPr>
      <w:i/>
      <w:iCs/>
      <w:color w:val="4F81BD" w:themeColor="accent1"/>
      <w14:textFill>
        <w14:solidFill>
          <w14:schemeClr w14:val="accent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4701</Words>
  <Characters>4784</Characters>
  <Lines>34</Lines>
  <Paragraphs>9</Paragraphs>
  <TotalTime>43</TotalTime>
  <ScaleCrop>false</ScaleCrop>
  <LinksUpToDate>false</LinksUpToDate>
  <CharactersWithSpaces>4810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2023-02-20T03:34:00Z</dcterms:created>
  <dc:creator>Administrator</dc:creator>
  <cp:lastModifiedBy>微信用户</cp:lastModifiedBy>
  <dcterms:modified xsi:type="dcterms:W3CDTF">2023-05-15T02:11:05Z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2B4DD908551B4026994554164550FC2B_13</vt:lpwstr>
  </property>
</Properties>
</file>