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94DE9">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kern w:val="0"/>
          <w:sz w:val="44"/>
          <w:szCs w:val="44"/>
          <w:lang w:val="en-US" w:eastAsia="zh-CN" w:bidi="ar"/>
        </w:rPr>
        <w:t>广水市财政局关于印发《政府采购代理机构</w:t>
      </w:r>
    </w:p>
    <w:p w14:paraId="4EDC5A93">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kern w:val="0"/>
          <w:sz w:val="44"/>
          <w:szCs w:val="44"/>
          <w:lang w:val="en-US" w:eastAsia="zh-CN" w:bidi="ar"/>
        </w:rPr>
        <w:t>“代理之星”考核评选办法》的通知</w:t>
      </w:r>
    </w:p>
    <w:p w14:paraId="39130CE9">
      <w:pPr>
        <w:keepNext w:val="0"/>
        <w:keepLines w:val="0"/>
        <w:widowControl/>
        <w:suppressLineNumbers w:val="0"/>
        <w:jc w:val="left"/>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政府采购中心、政府采购代理机构：</w:t>
      </w:r>
    </w:p>
    <w:p w14:paraId="328FDA45">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为加强政府采购代理机构监督管理，规范代理机构执业行为，切实推进广水市“大代理”先行区创建工作，构建政府采购领域公平竞争、诚实守信的营商环境，根据《中华人民共和国政府采购法》《中华人民共和国政府采购法实施条例》</w:t>
      </w:r>
      <w:r>
        <w:rPr>
          <w:rFonts w:ascii="仿宋_GB2312" w:hAnsi="宋体" w:eastAsia="仿宋_GB2312" w:cs="仿宋_GB2312"/>
          <w:color w:val="000000"/>
          <w:kern w:val="0"/>
          <w:sz w:val="31"/>
          <w:szCs w:val="31"/>
          <w:lang w:val="en-US" w:eastAsia="zh-CN" w:bidi="ar"/>
        </w:rPr>
        <w:t>》《政府采购社会代理机构管理暂行办法》（财库</w:t>
      </w:r>
      <w:r>
        <w:rPr>
          <w:rFonts w:hint="eastAsia" w:ascii="仿宋_GB2312" w:hAnsi="宋体" w:eastAsia="仿宋_GB2312" w:cs="仿宋_GB2312"/>
          <w:color w:val="000000"/>
          <w:kern w:val="0"/>
          <w:sz w:val="31"/>
          <w:szCs w:val="31"/>
          <w:lang w:val="en-US" w:eastAsia="zh-CN" w:bidi="ar"/>
        </w:rPr>
        <w:t>[2018]</w:t>
      </w:r>
      <w:r>
        <w:rPr>
          <w:rFonts w:ascii="仿宋_GB2312" w:hAnsi="宋体" w:eastAsia="仿宋_GB2312" w:cs="仿宋_GB2312"/>
          <w:color w:val="000000"/>
          <w:kern w:val="0"/>
          <w:sz w:val="31"/>
          <w:szCs w:val="31"/>
          <w:lang w:val="en-US" w:eastAsia="zh-CN" w:bidi="ar"/>
        </w:rPr>
        <w:t xml:space="preserve"> </w:t>
      </w:r>
      <w:r>
        <w:rPr>
          <w:rFonts w:hint="eastAsia" w:ascii="仿宋_GB2312" w:hAnsi="宋体" w:eastAsia="仿宋_GB2312" w:cs="仿宋_GB2312"/>
          <w:color w:val="000000"/>
          <w:kern w:val="0"/>
          <w:sz w:val="31"/>
          <w:szCs w:val="31"/>
          <w:lang w:val="en-US" w:eastAsia="zh-CN" w:bidi="ar"/>
        </w:rPr>
        <w:t>2 号）</w:t>
      </w:r>
      <w:r>
        <w:rPr>
          <w:rFonts w:hint="eastAsia" w:ascii="仿宋_GB2312" w:hAnsi="仿宋_GB2312" w:eastAsia="仿宋_GB2312" w:cs="仿宋_GB2312"/>
          <w:color w:val="000000"/>
          <w:kern w:val="0"/>
          <w:sz w:val="32"/>
          <w:szCs w:val="32"/>
          <w:lang w:val="en-US" w:eastAsia="zh-CN" w:bidi="ar"/>
        </w:rPr>
        <w:t>及《广水市代理机构以“大代理’新理念构建政府采购合作新模式实施方案》（广改办发[2024]6号）要求，制定本办法。</w:t>
      </w:r>
    </w:p>
    <w:p w14:paraId="7AC3E693">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eastAsia" w:ascii="黑体" w:hAnsi="黑体" w:eastAsia="黑体" w:cs="黑体"/>
          <w:sz w:val="32"/>
          <w:szCs w:val="32"/>
        </w:rPr>
      </w:pPr>
      <w:r>
        <w:rPr>
          <w:rFonts w:hint="eastAsia" w:ascii="黑体" w:hAnsi="黑体" w:eastAsia="黑体" w:cs="黑体"/>
          <w:color w:val="000000"/>
          <w:kern w:val="0"/>
          <w:sz w:val="32"/>
          <w:szCs w:val="32"/>
          <w:lang w:val="en-US" w:eastAsia="zh-CN" w:bidi="ar"/>
        </w:rPr>
        <w:t>一、考核对象</w:t>
      </w:r>
    </w:p>
    <w:p w14:paraId="3A306324">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广水境内从事政府采购项目代理业务的社会代理机构。</w:t>
      </w:r>
    </w:p>
    <w:p w14:paraId="38411707">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eastAsia" w:ascii="黑体" w:hAnsi="黑体" w:eastAsia="黑体" w:cs="黑体"/>
          <w:sz w:val="32"/>
          <w:szCs w:val="32"/>
        </w:rPr>
      </w:pPr>
      <w:r>
        <w:rPr>
          <w:rFonts w:hint="eastAsia" w:ascii="黑体" w:hAnsi="黑体" w:eastAsia="黑体" w:cs="黑体"/>
          <w:color w:val="000000"/>
          <w:kern w:val="0"/>
          <w:sz w:val="32"/>
          <w:szCs w:val="32"/>
          <w:lang w:val="en-US" w:eastAsia="zh-CN" w:bidi="ar"/>
        </w:rPr>
        <w:t>二、考核内容</w:t>
      </w:r>
    </w:p>
    <w:p w14:paraId="2A111E8E">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1、基本情况：登记情况、配置情况及经营情况等。</w:t>
      </w:r>
    </w:p>
    <w:p w14:paraId="4E49F00A">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2、管理情况：人员情况、培训情况，内控制度建设情况、业绩情况等。</w:t>
      </w:r>
    </w:p>
    <w:p w14:paraId="49A16F4E">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代理执业情况：大代理”新理念构建政府采购合作新模式执行情况(包括项目管理及内控制度建立、采购全过程咨询等内容)、项目执行情况(包括代理委托、需求制定、方式选择文件编制、评审准备、组织评审、信息公告、合同管理及履约验收，保证金管理、质疑答复、日常管理等方面)</w:t>
      </w:r>
    </w:p>
    <w:p w14:paraId="3671B09D">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4、服务评价情况：三方评价及社会满意度情况。</w:t>
      </w:r>
    </w:p>
    <w:p w14:paraId="3659691D">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5、扣分情况：企业轻微、一般不良行为情况。</w:t>
      </w:r>
    </w:p>
    <w:p w14:paraId="1B468316">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6、加分情况：本季度中企业的良好行为被推广及宣传情况。</w:t>
      </w:r>
    </w:p>
    <w:p w14:paraId="1E104F17">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7、严重不良行为情况：日常工作中发现有严重不良行为取消企业“服务之星”评选资格并按法律法规处理</w:t>
      </w:r>
    </w:p>
    <w:p w14:paraId="7416D6D7">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eastAsia" w:ascii="黑体" w:hAnsi="黑体" w:eastAsia="黑体" w:cs="黑体"/>
          <w:sz w:val="32"/>
          <w:szCs w:val="32"/>
        </w:rPr>
      </w:pPr>
      <w:r>
        <w:rPr>
          <w:rFonts w:hint="eastAsia" w:ascii="黑体" w:hAnsi="黑体" w:eastAsia="黑体" w:cs="黑体"/>
          <w:color w:val="000000"/>
          <w:kern w:val="0"/>
          <w:sz w:val="32"/>
          <w:szCs w:val="32"/>
          <w:lang w:val="en-US" w:eastAsia="zh-CN" w:bidi="ar"/>
        </w:rPr>
        <w:t>三、考核方式</w:t>
      </w:r>
    </w:p>
    <w:p w14:paraId="59B3D9F7">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考核采用计分制，满分为100分，按一个季度为一个计分周期。市财政局政府采购管理股负责具体日常考核工作。按季度对参加考核的社会代理机构进行考核得分统计、排名和公布，公布时间为下季度第一个月15日之前，并根据得分排名进行考核结果运用。</w:t>
      </w:r>
    </w:p>
    <w:p w14:paraId="29F008BE">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eastAsia" w:ascii="黑体" w:hAnsi="黑体" w:eastAsia="黑体" w:cs="黑体"/>
          <w:sz w:val="32"/>
          <w:szCs w:val="32"/>
        </w:rPr>
      </w:pPr>
      <w:r>
        <w:rPr>
          <w:rFonts w:hint="eastAsia" w:ascii="黑体" w:hAnsi="黑体" w:eastAsia="黑体" w:cs="黑体"/>
          <w:color w:val="000000"/>
          <w:kern w:val="0"/>
          <w:sz w:val="32"/>
          <w:szCs w:val="32"/>
          <w:lang w:val="en-US" w:eastAsia="zh-CN" w:bidi="ar"/>
        </w:rPr>
        <w:t>四、考核时间安排</w:t>
      </w:r>
    </w:p>
    <w:p w14:paraId="0AB78A55">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楷体" w:hAnsi="楷体" w:eastAsia="楷体" w:cs="楷体"/>
          <w:b w:val="0"/>
          <w:bCs w:val="0"/>
          <w:sz w:val="32"/>
          <w:szCs w:val="32"/>
          <w:lang w:val="en-US"/>
        </w:rPr>
      </w:pPr>
      <w:r>
        <w:rPr>
          <w:rFonts w:hint="eastAsia" w:ascii="楷体" w:hAnsi="楷体" w:eastAsia="楷体" w:cs="楷体"/>
          <w:b w:val="0"/>
          <w:bCs w:val="0"/>
          <w:color w:val="000000"/>
          <w:kern w:val="0"/>
          <w:sz w:val="32"/>
          <w:szCs w:val="32"/>
          <w:lang w:val="en-US" w:eastAsia="zh-CN" w:bidi="ar"/>
        </w:rPr>
        <w:t>（一）自评阶段</w:t>
      </w:r>
    </w:p>
    <w:p w14:paraId="5D09426F">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color w:val="000000"/>
          <w:kern w:val="0"/>
          <w:sz w:val="32"/>
          <w:szCs w:val="32"/>
          <w:lang w:val="en-US" w:eastAsia="zh-CN" w:bidi="ar"/>
        </w:rPr>
        <w:t>各社会代理机构对照考核内容与评分标准进行逐项自查，收集、整理考核材料，形成代理采购自评报告，于下季度第一个月10日之前以书面形式报送市财政局政府采购管理股</w:t>
      </w:r>
    </w:p>
    <w:p w14:paraId="7B541896">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（二）考核阶段</w:t>
      </w:r>
    </w:p>
    <w:p w14:paraId="3FFFE16B">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市财政局根据社会代理机构自评报告及监督检查内容，对照量化考核指标进行复核评分。</w:t>
      </w:r>
    </w:p>
    <w:p w14:paraId="56C529B3">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（三）公告阶段</w:t>
      </w:r>
    </w:p>
    <w:p w14:paraId="41245855">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将各代理机构考核评分结果在湖北省政府采购网上进行公告。</w:t>
      </w:r>
    </w:p>
    <w:p w14:paraId="085D73DB">
      <w:pPr>
        <w:keepNext w:val="0"/>
        <w:keepLines w:val="0"/>
        <w:pageBreakBefore w:val="0"/>
        <w:widowControl/>
        <w:numPr>
          <w:ilvl w:val="0"/>
          <w:numId w:val="2"/>
        </w:numPr>
        <w:suppressLineNumbers w:val="0"/>
        <w:kinsoku/>
        <w:wordWrap/>
        <w:overflowPunct/>
        <w:topLinePunct w:val="0"/>
        <w:autoSpaceDE/>
        <w:autoSpaceDN/>
        <w:bidi w:val="0"/>
        <w:adjustRightInd/>
        <w:snapToGrid/>
        <w:spacing w:line="600" w:lineRule="exact"/>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结果运用</w:t>
      </w:r>
    </w:p>
    <w:p w14:paraId="7FB9F9E9">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对考核评分前三名的代理机构授予“大代理”服务之星，评选结果向预算单位予以通知，供采购人在采购活动中择优选择。排名后两名的代理机构，根据具体问题督促整改落实，纳入重点监管。</w:t>
      </w:r>
    </w:p>
    <w:p w14:paraId="0FB82098">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六、其他</w:t>
      </w:r>
    </w:p>
    <w:p w14:paraId="3100BFE7">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（一）本办法由市财政局负责解释。</w:t>
      </w:r>
    </w:p>
    <w:p w14:paraId="31AE3385">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（二）本办法自2024年7月1日起施行，未尽事宜，按相</w:t>
      </w:r>
    </w:p>
    <w:p w14:paraId="360CCC3E">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关法律、法规执行；上级对社会代理机构管理另有规定的，从</w:t>
      </w:r>
    </w:p>
    <w:p w14:paraId="7811070C">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其规定。</w:t>
      </w:r>
    </w:p>
    <w:p w14:paraId="7826807A">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000000"/>
          <w:kern w:val="0"/>
          <w:sz w:val="32"/>
          <w:szCs w:val="32"/>
          <w:lang w:val="en-US" w:eastAsia="zh-CN" w:bidi="ar"/>
        </w:rPr>
      </w:pPr>
    </w:p>
    <w:p w14:paraId="321A4148">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附件：广水市“大代理”服务之星综合考核评价表</w:t>
      </w:r>
    </w:p>
    <w:p w14:paraId="478AECFC">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000000"/>
          <w:kern w:val="0"/>
          <w:sz w:val="32"/>
          <w:szCs w:val="32"/>
          <w:lang w:val="en-US" w:eastAsia="zh-CN" w:bidi="ar"/>
        </w:rPr>
      </w:pPr>
    </w:p>
    <w:p w14:paraId="1FFAA954">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color w:val="000000"/>
          <w:kern w:val="0"/>
          <w:sz w:val="32"/>
          <w:szCs w:val="32"/>
          <w:lang w:val="en-US" w:eastAsia="zh-CN" w:bidi="ar"/>
        </w:rPr>
      </w:pPr>
    </w:p>
    <w:p w14:paraId="5BFB93D9">
      <w:pPr>
        <w:keepNext w:val="0"/>
        <w:keepLines w:val="0"/>
        <w:pageBreakBefore w:val="0"/>
        <w:widowControl/>
        <w:suppressLineNumbers w:val="0"/>
        <w:kinsoku/>
        <w:wordWrap/>
        <w:overflowPunct/>
        <w:topLinePunct w:val="0"/>
        <w:autoSpaceDE/>
        <w:autoSpaceDN/>
        <w:bidi w:val="0"/>
        <w:adjustRightInd/>
        <w:snapToGrid/>
        <w:spacing w:line="600" w:lineRule="exact"/>
        <w:ind w:firstLine="4800" w:firstLineChars="15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广水市财政局</w:t>
      </w:r>
    </w:p>
    <w:p w14:paraId="5685B0BF">
      <w:pPr>
        <w:keepNext w:val="0"/>
        <w:keepLines w:val="0"/>
        <w:pageBreakBefore w:val="0"/>
        <w:widowControl/>
        <w:suppressLineNumbers w:val="0"/>
        <w:kinsoku/>
        <w:wordWrap/>
        <w:overflowPunct/>
        <w:topLinePunct w:val="0"/>
        <w:autoSpaceDE/>
        <w:autoSpaceDN/>
        <w:bidi w:val="0"/>
        <w:adjustRightInd/>
        <w:snapToGrid/>
        <w:spacing w:line="600" w:lineRule="exact"/>
        <w:ind w:firstLine="4480" w:firstLineChars="1400"/>
        <w:jc w:val="left"/>
        <w:textAlignment w:val="auto"/>
        <w:rPr>
          <w:rFonts w:hint="eastAsia" w:ascii="仿宋_GB2312" w:hAnsi="仿宋_GB2312" w:eastAsia="仿宋_GB2312" w:cs="仿宋_GB2312"/>
          <w:color w:val="000000"/>
          <w:kern w:val="0"/>
          <w:sz w:val="32"/>
          <w:szCs w:val="32"/>
          <w:lang w:val="en-US" w:eastAsia="zh-CN" w:bidi="ar"/>
        </w:rPr>
        <w:sectPr>
          <w:pgSz w:w="11906" w:h="16838"/>
          <w:pgMar w:top="2098" w:right="1474" w:bottom="1984" w:left="1587" w:header="851" w:footer="1077" w:gutter="0"/>
          <w:cols w:space="0" w:num="1"/>
          <w:rtlGutter w:val="0"/>
          <w:docGrid w:type="lines" w:linePitch="298" w:charSpace="0"/>
        </w:sectPr>
      </w:pPr>
      <w:r>
        <w:rPr>
          <w:rFonts w:hint="eastAsia" w:ascii="仿宋_GB2312" w:hAnsi="仿宋_GB2312" w:eastAsia="仿宋_GB2312" w:cs="仿宋_GB2312"/>
          <w:color w:val="000000"/>
          <w:kern w:val="0"/>
          <w:sz w:val="32"/>
          <w:szCs w:val="32"/>
          <w:lang w:val="en-US" w:eastAsia="zh-CN" w:bidi="ar"/>
        </w:rPr>
        <w:t>2024年6月20日</w:t>
      </w:r>
    </w:p>
    <w:p w14:paraId="180F94A3">
      <w:pPr>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52"/>
          <w:szCs w:val="52"/>
          <w:lang w:val="en-US" w:eastAsia="zh-CN"/>
        </w:rPr>
      </w:pPr>
      <w:r>
        <w:rPr>
          <w:rFonts w:hint="eastAsia" w:ascii="仿宋_GB2312" w:hAnsi="仿宋_GB2312" w:eastAsia="仿宋_GB2312" w:cs="仿宋_GB2312"/>
          <w:sz w:val="32"/>
          <w:szCs w:val="32"/>
          <w:lang w:val="en-US" w:eastAsia="zh-CN"/>
        </w:rPr>
        <w:t>附件1：</w:t>
      </w:r>
    </w:p>
    <w:p w14:paraId="61444B50">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rPr>
        <w:t>广水市</w:t>
      </w:r>
      <w:r>
        <w:rPr>
          <w:rFonts w:hint="eastAsia" w:ascii="方正小标宋简体" w:hAnsi="方正小标宋简体" w:eastAsia="方正小标宋简体" w:cs="方正小标宋简体"/>
          <w:sz w:val="52"/>
          <w:szCs w:val="52"/>
          <w:lang w:eastAsia="zh-CN"/>
        </w:rPr>
        <w:t>“</w:t>
      </w:r>
      <w:r>
        <w:rPr>
          <w:rFonts w:hint="eastAsia" w:ascii="方正小标宋简体" w:hAnsi="方正小标宋简体" w:eastAsia="方正小标宋简体" w:cs="方正小标宋简体"/>
          <w:sz w:val="52"/>
          <w:szCs w:val="52"/>
          <w:lang w:val="en-US" w:eastAsia="zh-CN"/>
        </w:rPr>
        <w:t>大代理</w:t>
      </w:r>
      <w:r>
        <w:rPr>
          <w:rFonts w:hint="eastAsia" w:ascii="方正小标宋简体" w:hAnsi="方正小标宋简体" w:eastAsia="方正小标宋简体" w:cs="方正小标宋简体"/>
          <w:sz w:val="52"/>
          <w:szCs w:val="52"/>
          <w:lang w:eastAsia="zh-CN"/>
        </w:rPr>
        <w:t>”</w:t>
      </w:r>
      <w:r>
        <w:rPr>
          <w:rFonts w:hint="eastAsia" w:ascii="方正小标宋简体" w:hAnsi="方正小标宋简体" w:eastAsia="方正小标宋简体" w:cs="方正小标宋简体"/>
          <w:sz w:val="52"/>
          <w:szCs w:val="52"/>
          <w:lang w:val="en-US" w:eastAsia="zh-CN"/>
        </w:rPr>
        <w:t>服务之星第__季度</w:t>
      </w:r>
      <w:r>
        <w:rPr>
          <w:rFonts w:hint="eastAsia" w:ascii="方正小标宋简体" w:hAnsi="方正小标宋简体" w:eastAsia="方正小标宋简体" w:cs="方正小标宋简体"/>
          <w:sz w:val="52"/>
          <w:szCs w:val="52"/>
        </w:rPr>
        <w:t>综合</w:t>
      </w:r>
      <w:r>
        <w:rPr>
          <w:rFonts w:hint="eastAsia" w:ascii="方正小标宋简体" w:hAnsi="方正小标宋简体" w:eastAsia="方正小标宋简体" w:cs="方正小标宋简体"/>
          <w:sz w:val="52"/>
          <w:szCs w:val="52"/>
          <w:lang w:val="en-US" w:eastAsia="zh-CN"/>
        </w:rPr>
        <w:t>考核</w:t>
      </w:r>
      <w:r>
        <w:rPr>
          <w:rFonts w:hint="eastAsia" w:ascii="方正小标宋简体" w:hAnsi="方正小标宋简体" w:eastAsia="方正小标宋简体" w:cs="方正小标宋简体"/>
          <w:sz w:val="52"/>
          <w:szCs w:val="52"/>
        </w:rPr>
        <w:t>评价</w:t>
      </w:r>
      <w:r>
        <w:rPr>
          <w:rFonts w:hint="eastAsia" w:ascii="方正小标宋简体" w:hAnsi="方正小标宋简体" w:eastAsia="方正小标宋简体" w:cs="方正小标宋简体"/>
          <w:sz w:val="52"/>
          <w:szCs w:val="52"/>
          <w:lang w:val="en-US" w:eastAsia="zh-CN"/>
        </w:rPr>
        <w:t>表</w:t>
      </w:r>
    </w:p>
    <w:tbl>
      <w:tblPr>
        <w:tblStyle w:val="5"/>
        <w:tblpPr w:leftFromText="180" w:rightFromText="180" w:vertAnchor="text" w:horzAnchor="page" w:tblpX="1260" w:tblpY="79"/>
        <w:tblOverlap w:val="never"/>
        <w:tblW w:w="143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9"/>
        <w:gridCol w:w="1690"/>
        <w:gridCol w:w="887"/>
        <w:gridCol w:w="8413"/>
        <w:gridCol w:w="704"/>
        <w:gridCol w:w="1255"/>
      </w:tblGrid>
      <w:tr w14:paraId="48744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8" w:hRule="atLeast"/>
          <w:jc w:val="center"/>
        </w:trPr>
        <w:tc>
          <w:tcPr>
            <w:tcW w:w="1419" w:type="dxa"/>
            <w:vAlign w:val="center"/>
          </w:tcPr>
          <w:p w14:paraId="23EE2A4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一级指标</w:t>
            </w:r>
          </w:p>
        </w:tc>
        <w:tc>
          <w:tcPr>
            <w:tcW w:w="1690" w:type="dxa"/>
            <w:vAlign w:val="center"/>
          </w:tcPr>
          <w:p w14:paraId="7C9B7C5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二级指标</w:t>
            </w:r>
          </w:p>
        </w:tc>
        <w:tc>
          <w:tcPr>
            <w:tcW w:w="887" w:type="dxa"/>
            <w:vAlign w:val="center"/>
          </w:tcPr>
          <w:p w14:paraId="54B93E4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权重</w:t>
            </w:r>
          </w:p>
        </w:tc>
        <w:tc>
          <w:tcPr>
            <w:tcW w:w="8413" w:type="dxa"/>
            <w:vAlign w:val="center"/>
          </w:tcPr>
          <w:p w14:paraId="60E00D4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评价内容</w:t>
            </w:r>
          </w:p>
        </w:tc>
        <w:tc>
          <w:tcPr>
            <w:tcW w:w="704" w:type="dxa"/>
            <w:vAlign w:val="center"/>
          </w:tcPr>
          <w:p w14:paraId="6CED3BA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预测</w:t>
            </w:r>
          </w:p>
          <w:p w14:paraId="114BCF3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分值</w:t>
            </w:r>
          </w:p>
        </w:tc>
        <w:tc>
          <w:tcPr>
            <w:tcW w:w="1255" w:type="dxa"/>
            <w:vAlign w:val="center"/>
          </w:tcPr>
          <w:p w14:paraId="4764079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财政部门</w:t>
            </w:r>
          </w:p>
          <w:p w14:paraId="3760A86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rPr>
              <w:t>检查评分</w:t>
            </w:r>
          </w:p>
        </w:tc>
      </w:tr>
      <w:tr w14:paraId="1F8DD6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jc w:val="center"/>
        </w:trPr>
        <w:tc>
          <w:tcPr>
            <w:tcW w:w="1419" w:type="dxa"/>
            <w:vMerge w:val="restart"/>
            <w:vAlign w:val="center"/>
          </w:tcPr>
          <w:p w14:paraId="3D31AE34">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1.基本情况(</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w:t>
            </w:r>
          </w:p>
        </w:tc>
        <w:tc>
          <w:tcPr>
            <w:tcW w:w="1690" w:type="dxa"/>
            <w:vAlign w:val="center"/>
          </w:tcPr>
          <w:p w14:paraId="2B107538">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1.1登记情况</w:t>
            </w:r>
          </w:p>
        </w:tc>
        <w:tc>
          <w:tcPr>
            <w:tcW w:w="887" w:type="dxa"/>
            <w:vAlign w:val="center"/>
          </w:tcPr>
          <w:p w14:paraId="4E8723C3">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8413" w:type="dxa"/>
            <w:vAlign w:val="center"/>
          </w:tcPr>
          <w:p w14:paraId="7947A23C">
            <w:pPr>
              <w:bidi w:val="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在中国政府采购网或其工商注册所在地省级分网登记的信息完整真实，得1分。</w:t>
            </w:r>
          </w:p>
        </w:tc>
        <w:tc>
          <w:tcPr>
            <w:tcW w:w="704" w:type="dxa"/>
            <w:vAlign w:val="center"/>
          </w:tcPr>
          <w:p w14:paraId="75EA0590">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1分</w:t>
            </w:r>
          </w:p>
        </w:tc>
        <w:tc>
          <w:tcPr>
            <w:tcW w:w="1255" w:type="dxa"/>
            <w:vAlign w:val="center"/>
          </w:tcPr>
          <w:p w14:paraId="47DF0365">
            <w:pPr>
              <w:bidi w:val="0"/>
              <w:rPr>
                <w:rFonts w:hint="eastAsia" w:ascii="仿宋_GB2312" w:hAnsi="仿宋_GB2312" w:eastAsia="仿宋_GB2312" w:cs="仿宋_GB2312"/>
                <w:sz w:val="24"/>
                <w:szCs w:val="24"/>
                <w:lang w:val="en-US" w:eastAsia="zh-CN"/>
              </w:rPr>
            </w:pPr>
          </w:p>
        </w:tc>
      </w:tr>
      <w:tr w14:paraId="5CD5B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jc w:val="center"/>
        </w:trPr>
        <w:tc>
          <w:tcPr>
            <w:tcW w:w="1419" w:type="dxa"/>
            <w:vMerge w:val="continue"/>
            <w:vAlign w:val="center"/>
          </w:tcPr>
          <w:p w14:paraId="652A13FE">
            <w:pPr>
              <w:bidi w:val="0"/>
              <w:jc w:val="center"/>
              <w:rPr>
                <w:rFonts w:hint="eastAsia" w:ascii="仿宋_GB2312" w:hAnsi="仿宋_GB2312" w:eastAsia="仿宋_GB2312" w:cs="仿宋_GB2312"/>
                <w:sz w:val="24"/>
                <w:szCs w:val="24"/>
              </w:rPr>
            </w:pPr>
          </w:p>
        </w:tc>
        <w:tc>
          <w:tcPr>
            <w:tcW w:w="1690" w:type="dxa"/>
            <w:vAlign w:val="center"/>
          </w:tcPr>
          <w:p w14:paraId="2855D1C6">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1.2配置情况</w:t>
            </w:r>
          </w:p>
        </w:tc>
        <w:tc>
          <w:tcPr>
            <w:tcW w:w="887" w:type="dxa"/>
            <w:vAlign w:val="center"/>
          </w:tcPr>
          <w:p w14:paraId="7752C7C6">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8413" w:type="dxa"/>
            <w:vAlign w:val="center"/>
          </w:tcPr>
          <w:p w14:paraId="23D08EF5">
            <w:pPr>
              <w:bidi w:val="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具备独立的办公场所，</w:t>
            </w:r>
            <w:r>
              <w:rPr>
                <w:rFonts w:hint="eastAsia" w:ascii="仿宋_GB2312" w:hAnsi="仿宋_GB2312" w:eastAsia="仿宋_GB2312" w:cs="仿宋_GB2312"/>
                <w:sz w:val="21"/>
                <w:szCs w:val="21"/>
                <w:lang w:val="en-US" w:eastAsia="zh-CN"/>
              </w:rPr>
              <w:t>包括独立的办公室、会议室、投诉质疑办公室、档案室</w:t>
            </w:r>
            <w:r>
              <w:rPr>
                <w:rFonts w:hint="eastAsia" w:ascii="仿宋_GB2312" w:hAnsi="仿宋_GB2312" w:eastAsia="仿宋_GB2312" w:cs="仿宋_GB2312"/>
                <w:sz w:val="21"/>
                <w:szCs w:val="21"/>
              </w:rPr>
              <w:t>得1分</w:t>
            </w:r>
          </w:p>
        </w:tc>
        <w:tc>
          <w:tcPr>
            <w:tcW w:w="704" w:type="dxa"/>
            <w:vAlign w:val="center"/>
          </w:tcPr>
          <w:p w14:paraId="68704D82">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分</w:t>
            </w:r>
          </w:p>
        </w:tc>
        <w:tc>
          <w:tcPr>
            <w:tcW w:w="1255" w:type="dxa"/>
            <w:vAlign w:val="center"/>
          </w:tcPr>
          <w:p w14:paraId="103D2F81">
            <w:pPr>
              <w:bidi w:val="0"/>
              <w:rPr>
                <w:rFonts w:hint="eastAsia" w:ascii="仿宋_GB2312" w:hAnsi="仿宋_GB2312" w:eastAsia="仿宋_GB2312" w:cs="仿宋_GB2312"/>
                <w:sz w:val="24"/>
                <w:szCs w:val="24"/>
                <w:lang w:val="en-US" w:eastAsia="zh-CN"/>
              </w:rPr>
            </w:pPr>
          </w:p>
        </w:tc>
      </w:tr>
      <w:tr w14:paraId="096A2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jc w:val="center"/>
        </w:trPr>
        <w:tc>
          <w:tcPr>
            <w:tcW w:w="1419" w:type="dxa"/>
            <w:vMerge w:val="continue"/>
            <w:vAlign w:val="center"/>
          </w:tcPr>
          <w:p w14:paraId="22EC21A1">
            <w:pPr>
              <w:bidi w:val="0"/>
              <w:jc w:val="center"/>
              <w:rPr>
                <w:rFonts w:hint="eastAsia" w:ascii="仿宋_GB2312" w:hAnsi="仿宋_GB2312" w:eastAsia="仿宋_GB2312" w:cs="仿宋_GB2312"/>
                <w:sz w:val="24"/>
                <w:szCs w:val="24"/>
              </w:rPr>
            </w:pPr>
          </w:p>
        </w:tc>
        <w:tc>
          <w:tcPr>
            <w:tcW w:w="1690" w:type="dxa"/>
            <w:vMerge w:val="restart"/>
            <w:tcBorders>
              <w:bottom w:val="nil"/>
            </w:tcBorders>
            <w:vAlign w:val="center"/>
          </w:tcPr>
          <w:p w14:paraId="4B60D736">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1.3经营情况</w:t>
            </w:r>
          </w:p>
        </w:tc>
        <w:tc>
          <w:tcPr>
            <w:tcW w:w="887" w:type="dxa"/>
            <w:vMerge w:val="restart"/>
            <w:tcBorders>
              <w:bottom w:val="nil"/>
            </w:tcBorders>
            <w:vAlign w:val="center"/>
          </w:tcPr>
          <w:p w14:paraId="5C24C25E">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8413" w:type="dxa"/>
            <w:vAlign w:val="center"/>
          </w:tcPr>
          <w:p w14:paraId="604A7E1D">
            <w:pPr>
              <w:bidi w:val="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企业纳税信用等级为B级或M级及以上，得1分</w:t>
            </w:r>
          </w:p>
        </w:tc>
        <w:tc>
          <w:tcPr>
            <w:tcW w:w="704" w:type="dxa"/>
            <w:vAlign w:val="center"/>
          </w:tcPr>
          <w:p w14:paraId="0B560467">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1分</w:t>
            </w:r>
          </w:p>
        </w:tc>
        <w:tc>
          <w:tcPr>
            <w:tcW w:w="1255" w:type="dxa"/>
            <w:vAlign w:val="center"/>
          </w:tcPr>
          <w:p w14:paraId="3B47A7C3">
            <w:pPr>
              <w:bidi w:val="0"/>
              <w:rPr>
                <w:rFonts w:hint="eastAsia" w:ascii="仿宋_GB2312" w:hAnsi="仿宋_GB2312" w:eastAsia="仿宋_GB2312" w:cs="仿宋_GB2312"/>
                <w:sz w:val="24"/>
                <w:szCs w:val="24"/>
                <w:lang w:val="en-US" w:eastAsia="zh-CN"/>
              </w:rPr>
            </w:pPr>
          </w:p>
        </w:tc>
      </w:tr>
      <w:tr w14:paraId="6C66F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jc w:val="center"/>
        </w:trPr>
        <w:tc>
          <w:tcPr>
            <w:tcW w:w="1419" w:type="dxa"/>
            <w:vMerge w:val="continue"/>
            <w:tcBorders>
              <w:bottom w:val="nil"/>
            </w:tcBorders>
            <w:vAlign w:val="center"/>
          </w:tcPr>
          <w:p w14:paraId="687085B6">
            <w:pPr>
              <w:bidi w:val="0"/>
              <w:jc w:val="center"/>
              <w:rPr>
                <w:rFonts w:hint="eastAsia" w:ascii="仿宋_GB2312" w:hAnsi="仿宋_GB2312" w:eastAsia="仿宋_GB2312" w:cs="仿宋_GB2312"/>
                <w:sz w:val="24"/>
                <w:szCs w:val="24"/>
              </w:rPr>
            </w:pPr>
          </w:p>
        </w:tc>
        <w:tc>
          <w:tcPr>
            <w:tcW w:w="1690" w:type="dxa"/>
            <w:vMerge w:val="continue"/>
            <w:tcBorders>
              <w:top w:val="nil"/>
            </w:tcBorders>
            <w:vAlign w:val="center"/>
          </w:tcPr>
          <w:p w14:paraId="0FEFD70F">
            <w:pPr>
              <w:bidi w:val="0"/>
              <w:jc w:val="center"/>
              <w:rPr>
                <w:rFonts w:hint="eastAsia" w:ascii="仿宋_GB2312" w:hAnsi="仿宋_GB2312" w:eastAsia="仿宋_GB2312" w:cs="仿宋_GB2312"/>
                <w:sz w:val="24"/>
                <w:szCs w:val="24"/>
              </w:rPr>
            </w:pPr>
          </w:p>
        </w:tc>
        <w:tc>
          <w:tcPr>
            <w:tcW w:w="887" w:type="dxa"/>
            <w:vMerge w:val="continue"/>
            <w:tcBorders>
              <w:top w:val="nil"/>
            </w:tcBorders>
            <w:vAlign w:val="center"/>
          </w:tcPr>
          <w:p w14:paraId="143AE564">
            <w:pPr>
              <w:bidi w:val="0"/>
              <w:jc w:val="center"/>
              <w:rPr>
                <w:rFonts w:hint="eastAsia" w:ascii="仿宋_GB2312" w:hAnsi="仿宋_GB2312" w:eastAsia="仿宋_GB2312" w:cs="仿宋_GB2312"/>
                <w:sz w:val="24"/>
                <w:szCs w:val="24"/>
              </w:rPr>
            </w:pPr>
          </w:p>
        </w:tc>
        <w:tc>
          <w:tcPr>
            <w:tcW w:w="8413" w:type="dxa"/>
            <w:vAlign w:val="center"/>
          </w:tcPr>
          <w:p w14:paraId="0B3583ED">
            <w:pPr>
              <w:bidi w:val="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依法为企业在职人员缴纳社会保险金(社保账户),得</w:t>
            </w: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分</w:t>
            </w:r>
          </w:p>
        </w:tc>
        <w:tc>
          <w:tcPr>
            <w:tcW w:w="704" w:type="dxa"/>
            <w:vAlign w:val="center"/>
          </w:tcPr>
          <w:p w14:paraId="7730AB22">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分</w:t>
            </w:r>
          </w:p>
        </w:tc>
        <w:tc>
          <w:tcPr>
            <w:tcW w:w="1255" w:type="dxa"/>
            <w:vAlign w:val="center"/>
          </w:tcPr>
          <w:p w14:paraId="7F89FEEC">
            <w:pPr>
              <w:bidi w:val="0"/>
              <w:rPr>
                <w:rFonts w:hint="eastAsia" w:ascii="仿宋_GB2312" w:hAnsi="仿宋_GB2312" w:eastAsia="仿宋_GB2312" w:cs="仿宋_GB2312"/>
                <w:sz w:val="24"/>
                <w:szCs w:val="24"/>
                <w:lang w:val="en-US" w:eastAsia="zh-CN"/>
              </w:rPr>
            </w:pPr>
          </w:p>
        </w:tc>
      </w:tr>
      <w:tr w14:paraId="3AE7D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8" w:hRule="atLeast"/>
          <w:jc w:val="center"/>
        </w:trPr>
        <w:tc>
          <w:tcPr>
            <w:tcW w:w="1419" w:type="dxa"/>
            <w:vMerge w:val="restart"/>
            <w:vAlign w:val="center"/>
          </w:tcPr>
          <w:p w14:paraId="22764E68">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管理情况</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30</w:t>
            </w:r>
            <w:r>
              <w:rPr>
                <w:rFonts w:hint="eastAsia" w:ascii="仿宋_GB2312" w:hAnsi="仿宋_GB2312" w:eastAsia="仿宋_GB2312" w:cs="仿宋_GB2312"/>
                <w:sz w:val="24"/>
                <w:szCs w:val="24"/>
              </w:rPr>
              <w:t>%)</w:t>
            </w:r>
          </w:p>
        </w:tc>
        <w:tc>
          <w:tcPr>
            <w:tcW w:w="1690" w:type="dxa"/>
            <w:vAlign w:val="center"/>
          </w:tcPr>
          <w:p w14:paraId="7FAB6987">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2.1人员情况</w:t>
            </w:r>
          </w:p>
        </w:tc>
        <w:tc>
          <w:tcPr>
            <w:tcW w:w="887" w:type="dxa"/>
            <w:shd w:val="clear" w:color="auto" w:fill="auto"/>
            <w:vAlign w:val="center"/>
          </w:tcPr>
          <w:p w14:paraId="7C7AF11E">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p>
        </w:tc>
        <w:tc>
          <w:tcPr>
            <w:tcW w:w="8413" w:type="dxa"/>
            <w:shd w:val="clear" w:color="auto" w:fill="auto"/>
            <w:vAlign w:val="center"/>
          </w:tcPr>
          <w:p w14:paraId="48AE66E0">
            <w:pPr>
              <w:bidi w:val="0"/>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1.企业内缴纳社保人数达5人及以上得4分</w:t>
            </w:r>
          </w:p>
          <w:p w14:paraId="26AACE24">
            <w:pPr>
              <w:bidi w:val="0"/>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2.企业内有</w:t>
            </w:r>
            <w:r>
              <w:rPr>
                <w:rFonts w:hint="eastAsia" w:ascii="仿宋_GB2312" w:hAnsi="仿宋_GB2312" w:eastAsia="仿宋_GB2312" w:cs="仿宋_GB2312"/>
                <w:sz w:val="21"/>
                <w:szCs w:val="21"/>
              </w:rPr>
              <w:t>具备《国家职业资格目录》内与政府采购业务相关的资质或证书的专职从业人员</w:t>
            </w:r>
            <w:r>
              <w:rPr>
                <w:rFonts w:hint="eastAsia" w:ascii="仿宋_GB2312" w:hAnsi="仿宋_GB2312" w:eastAsia="仿宋_GB2312" w:cs="仿宋_GB2312"/>
                <w:sz w:val="21"/>
                <w:szCs w:val="21"/>
                <w:lang w:val="en-US" w:eastAsia="zh-CN"/>
              </w:rPr>
              <w:t>得1分</w:t>
            </w:r>
            <w:r>
              <w:rPr>
                <w:rFonts w:hint="eastAsia" w:ascii="仿宋_GB2312" w:hAnsi="仿宋_GB2312" w:eastAsia="仿宋_GB2312" w:cs="仿宋_GB2312"/>
                <w:sz w:val="21"/>
                <w:szCs w:val="21"/>
              </w:rPr>
              <w:t>。</w:t>
            </w:r>
          </w:p>
        </w:tc>
        <w:tc>
          <w:tcPr>
            <w:tcW w:w="704" w:type="dxa"/>
            <w:shd w:val="clear" w:color="auto" w:fill="auto"/>
            <w:vAlign w:val="center"/>
          </w:tcPr>
          <w:p w14:paraId="36208AC3">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分</w:t>
            </w:r>
          </w:p>
        </w:tc>
        <w:tc>
          <w:tcPr>
            <w:tcW w:w="1255" w:type="dxa"/>
            <w:shd w:val="clear" w:color="auto" w:fill="auto"/>
            <w:vAlign w:val="top"/>
          </w:tcPr>
          <w:p w14:paraId="75E5A8F9">
            <w:pPr>
              <w:bidi w:val="0"/>
              <w:rPr>
                <w:rFonts w:hint="eastAsia" w:ascii="仿宋_GB2312" w:hAnsi="仿宋_GB2312" w:eastAsia="仿宋_GB2312" w:cs="仿宋_GB2312"/>
                <w:sz w:val="24"/>
                <w:szCs w:val="24"/>
                <w:lang w:val="en-US" w:eastAsia="zh-CN"/>
              </w:rPr>
            </w:pPr>
          </w:p>
        </w:tc>
      </w:tr>
      <w:tr w14:paraId="53A35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jc w:val="center"/>
        </w:trPr>
        <w:tc>
          <w:tcPr>
            <w:tcW w:w="1419" w:type="dxa"/>
            <w:vMerge w:val="continue"/>
            <w:vAlign w:val="center"/>
          </w:tcPr>
          <w:p w14:paraId="58B402F1">
            <w:pPr>
              <w:bidi w:val="0"/>
              <w:jc w:val="center"/>
              <w:rPr>
                <w:rFonts w:hint="eastAsia" w:ascii="仿宋_GB2312" w:hAnsi="仿宋_GB2312" w:eastAsia="仿宋_GB2312" w:cs="仿宋_GB2312"/>
                <w:sz w:val="24"/>
                <w:szCs w:val="24"/>
              </w:rPr>
            </w:pPr>
          </w:p>
        </w:tc>
        <w:tc>
          <w:tcPr>
            <w:tcW w:w="1690" w:type="dxa"/>
            <w:vMerge w:val="restart"/>
            <w:vAlign w:val="center"/>
          </w:tcPr>
          <w:p w14:paraId="7254E3E6">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2.2培训情况</w:t>
            </w:r>
          </w:p>
        </w:tc>
        <w:tc>
          <w:tcPr>
            <w:tcW w:w="887" w:type="dxa"/>
            <w:vMerge w:val="restart"/>
            <w:vAlign w:val="center"/>
          </w:tcPr>
          <w:p w14:paraId="6FC1B036">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15</w:t>
            </w:r>
          </w:p>
        </w:tc>
        <w:tc>
          <w:tcPr>
            <w:tcW w:w="8413" w:type="dxa"/>
            <w:shd w:val="clear" w:color="auto" w:fill="auto"/>
            <w:vAlign w:val="center"/>
          </w:tcPr>
          <w:p w14:paraId="3AFDE50B">
            <w:pPr>
              <w:bidi w:val="0"/>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参加外部培训总人数：2</w:t>
            </w: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人，得</w:t>
            </w: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分；6人及以上，得</w:t>
            </w: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分。(外部培训以培训证书为准</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w:t>
            </w:r>
          </w:p>
        </w:tc>
        <w:tc>
          <w:tcPr>
            <w:tcW w:w="704" w:type="dxa"/>
            <w:shd w:val="clear" w:color="auto" w:fill="auto"/>
            <w:vAlign w:val="center"/>
          </w:tcPr>
          <w:p w14:paraId="4D234761">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分</w:t>
            </w:r>
          </w:p>
        </w:tc>
        <w:tc>
          <w:tcPr>
            <w:tcW w:w="1255" w:type="dxa"/>
            <w:shd w:val="clear" w:color="auto" w:fill="auto"/>
            <w:vAlign w:val="top"/>
          </w:tcPr>
          <w:p w14:paraId="5AC86D59">
            <w:pPr>
              <w:bidi w:val="0"/>
              <w:rPr>
                <w:rFonts w:hint="eastAsia" w:ascii="仿宋_GB2312" w:hAnsi="仿宋_GB2312" w:eastAsia="仿宋_GB2312" w:cs="仿宋_GB2312"/>
                <w:sz w:val="24"/>
                <w:szCs w:val="24"/>
                <w:lang w:val="en-US" w:eastAsia="zh-CN"/>
              </w:rPr>
            </w:pPr>
          </w:p>
        </w:tc>
      </w:tr>
      <w:tr w14:paraId="1430A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1419" w:type="dxa"/>
            <w:vMerge w:val="continue"/>
            <w:vAlign w:val="center"/>
          </w:tcPr>
          <w:p w14:paraId="279917B2">
            <w:pPr>
              <w:bidi w:val="0"/>
              <w:jc w:val="center"/>
              <w:rPr>
                <w:rFonts w:hint="eastAsia" w:ascii="仿宋_GB2312" w:hAnsi="仿宋_GB2312" w:eastAsia="仿宋_GB2312" w:cs="仿宋_GB2312"/>
                <w:sz w:val="24"/>
                <w:szCs w:val="24"/>
              </w:rPr>
            </w:pPr>
          </w:p>
        </w:tc>
        <w:tc>
          <w:tcPr>
            <w:tcW w:w="1690" w:type="dxa"/>
            <w:vMerge w:val="continue"/>
            <w:vAlign w:val="center"/>
          </w:tcPr>
          <w:p w14:paraId="4664954F">
            <w:pPr>
              <w:bidi w:val="0"/>
              <w:jc w:val="center"/>
              <w:rPr>
                <w:rFonts w:hint="eastAsia" w:ascii="仿宋_GB2312" w:hAnsi="仿宋_GB2312" w:eastAsia="仿宋_GB2312" w:cs="仿宋_GB2312"/>
                <w:sz w:val="24"/>
                <w:szCs w:val="24"/>
              </w:rPr>
            </w:pPr>
          </w:p>
        </w:tc>
        <w:tc>
          <w:tcPr>
            <w:tcW w:w="887" w:type="dxa"/>
            <w:vMerge w:val="continue"/>
            <w:vAlign w:val="center"/>
          </w:tcPr>
          <w:p w14:paraId="06706A3D">
            <w:pPr>
              <w:bidi w:val="0"/>
              <w:jc w:val="center"/>
              <w:rPr>
                <w:rFonts w:hint="eastAsia" w:ascii="仿宋_GB2312" w:hAnsi="仿宋_GB2312" w:eastAsia="仿宋_GB2312" w:cs="仿宋_GB2312"/>
                <w:sz w:val="24"/>
                <w:szCs w:val="24"/>
              </w:rPr>
            </w:pPr>
          </w:p>
        </w:tc>
        <w:tc>
          <w:tcPr>
            <w:tcW w:w="8413" w:type="dxa"/>
            <w:shd w:val="clear" w:color="auto" w:fill="auto"/>
            <w:vAlign w:val="center"/>
          </w:tcPr>
          <w:p w14:paraId="3BBE9A1D">
            <w:pPr>
              <w:bidi w:val="0"/>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湖北政府采购协会云平台学习总课时：50课时以上得5分，50-25课时得3分，25-1课时得2分。</w:t>
            </w:r>
          </w:p>
        </w:tc>
        <w:tc>
          <w:tcPr>
            <w:tcW w:w="704" w:type="dxa"/>
            <w:shd w:val="clear" w:color="auto" w:fill="auto"/>
            <w:vAlign w:val="center"/>
          </w:tcPr>
          <w:p w14:paraId="5B089274">
            <w:pPr>
              <w:bidi w:val="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分</w:t>
            </w:r>
          </w:p>
        </w:tc>
        <w:tc>
          <w:tcPr>
            <w:tcW w:w="1255" w:type="dxa"/>
            <w:shd w:val="clear" w:color="auto" w:fill="auto"/>
            <w:vAlign w:val="top"/>
          </w:tcPr>
          <w:p w14:paraId="5CFB14E8">
            <w:pPr>
              <w:bidi w:val="0"/>
              <w:rPr>
                <w:rFonts w:hint="eastAsia" w:ascii="仿宋_GB2312" w:hAnsi="仿宋_GB2312" w:eastAsia="仿宋_GB2312" w:cs="仿宋_GB2312"/>
                <w:sz w:val="24"/>
                <w:szCs w:val="24"/>
              </w:rPr>
            </w:pPr>
          </w:p>
        </w:tc>
      </w:tr>
      <w:tr w14:paraId="0BA30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7" w:hRule="atLeast"/>
          <w:jc w:val="center"/>
        </w:trPr>
        <w:tc>
          <w:tcPr>
            <w:tcW w:w="1419" w:type="dxa"/>
            <w:vMerge w:val="continue"/>
            <w:vAlign w:val="center"/>
          </w:tcPr>
          <w:p w14:paraId="0559D8DF">
            <w:pPr>
              <w:bidi w:val="0"/>
              <w:jc w:val="center"/>
              <w:rPr>
                <w:rFonts w:hint="eastAsia" w:ascii="仿宋_GB2312" w:hAnsi="仿宋_GB2312" w:eastAsia="仿宋_GB2312" w:cs="仿宋_GB2312"/>
                <w:sz w:val="24"/>
                <w:szCs w:val="24"/>
              </w:rPr>
            </w:pPr>
          </w:p>
        </w:tc>
        <w:tc>
          <w:tcPr>
            <w:tcW w:w="1690" w:type="dxa"/>
            <w:vMerge w:val="continue"/>
            <w:vAlign w:val="center"/>
          </w:tcPr>
          <w:p w14:paraId="1C8173B8">
            <w:pPr>
              <w:bidi w:val="0"/>
              <w:jc w:val="center"/>
              <w:rPr>
                <w:rFonts w:hint="eastAsia" w:ascii="仿宋_GB2312" w:hAnsi="仿宋_GB2312" w:eastAsia="仿宋_GB2312" w:cs="仿宋_GB2312"/>
                <w:sz w:val="24"/>
                <w:szCs w:val="24"/>
                <w:lang w:val="en-US" w:eastAsia="zh-CN"/>
              </w:rPr>
            </w:pPr>
          </w:p>
        </w:tc>
        <w:tc>
          <w:tcPr>
            <w:tcW w:w="887" w:type="dxa"/>
            <w:vMerge w:val="continue"/>
            <w:vAlign w:val="center"/>
          </w:tcPr>
          <w:p w14:paraId="310E2D6E">
            <w:pPr>
              <w:bidi w:val="0"/>
              <w:jc w:val="center"/>
              <w:rPr>
                <w:rFonts w:hint="eastAsia" w:ascii="仿宋_GB2312" w:hAnsi="仿宋_GB2312" w:eastAsia="仿宋_GB2312" w:cs="仿宋_GB2312"/>
                <w:sz w:val="24"/>
                <w:szCs w:val="24"/>
                <w:lang w:val="en-US" w:eastAsia="zh-CN"/>
              </w:rPr>
            </w:pPr>
          </w:p>
        </w:tc>
        <w:tc>
          <w:tcPr>
            <w:tcW w:w="8413" w:type="dxa"/>
            <w:shd w:val="clear" w:color="auto" w:fill="auto"/>
            <w:vAlign w:val="center"/>
          </w:tcPr>
          <w:p w14:paraId="2C992DCC">
            <w:pPr>
              <w:bidi w:val="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外部考试通过总人数：1-5人，得3分；6人以上，得5分。（考试以举办单位公告名单为准）</w:t>
            </w:r>
          </w:p>
        </w:tc>
        <w:tc>
          <w:tcPr>
            <w:tcW w:w="704" w:type="dxa"/>
            <w:shd w:val="clear" w:color="auto" w:fill="auto"/>
            <w:vAlign w:val="center"/>
          </w:tcPr>
          <w:p w14:paraId="32897F30">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5分</w:t>
            </w:r>
          </w:p>
        </w:tc>
        <w:tc>
          <w:tcPr>
            <w:tcW w:w="1255" w:type="dxa"/>
            <w:shd w:val="clear" w:color="auto" w:fill="auto"/>
            <w:vAlign w:val="top"/>
          </w:tcPr>
          <w:p w14:paraId="21708244">
            <w:pPr>
              <w:bidi w:val="0"/>
              <w:rPr>
                <w:rFonts w:hint="eastAsia" w:ascii="仿宋_GB2312" w:hAnsi="仿宋_GB2312" w:eastAsia="仿宋_GB2312" w:cs="仿宋_GB2312"/>
                <w:sz w:val="24"/>
                <w:szCs w:val="24"/>
                <w:lang w:val="en-US" w:eastAsia="zh-CN"/>
              </w:rPr>
            </w:pPr>
          </w:p>
        </w:tc>
      </w:tr>
      <w:tr w14:paraId="482CB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9" w:hRule="atLeast"/>
          <w:jc w:val="center"/>
        </w:trPr>
        <w:tc>
          <w:tcPr>
            <w:tcW w:w="1419" w:type="dxa"/>
            <w:vMerge w:val="continue"/>
            <w:vAlign w:val="center"/>
          </w:tcPr>
          <w:p w14:paraId="3FE6DFCF">
            <w:pPr>
              <w:bidi w:val="0"/>
              <w:jc w:val="center"/>
              <w:rPr>
                <w:rFonts w:hint="eastAsia" w:ascii="仿宋_GB2312" w:hAnsi="仿宋_GB2312" w:eastAsia="仿宋_GB2312" w:cs="仿宋_GB2312"/>
                <w:sz w:val="24"/>
                <w:szCs w:val="24"/>
              </w:rPr>
            </w:pPr>
          </w:p>
        </w:tc>
        <w:tc>
          <w:tcPr>
            <w:tcW w:w="1690" w:type="dxa"/>
            <w:shd w:val="clear" w:color="auto" w:fill="auto"/>
            <w:vAlign w:val="center"/>
          </w:tcPr>
          <w:p w14:paraId="17A426C8">
            <w:pPr>
              <w:bidi w:val="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3内控</w:t>
            </w:r>
            <w:r>
              <w:rPr>
                <w:rFonts w:hint="eastAsia" w:ascii="仿宋_GB2312" w:hAnsi="仿宋_GB2312" w:eastAsia="仿宋_GB2312" w:cs="仿宋_GB2312"/>
                <w:sz w:val="24"/>
                <w:szCs w:val="24"/>
              </w:rPr>
              <w:t>制度</w:t>
            </w:r>
          </w:p>
        </w:tc>
        <w:tc>
          <w:tcPr>
            <w:tcW w:w="887" w:type="dxa"/>
            <w:shd w:val="clear" w:color="auto" w:fill="auto"/>
            <w:vAlign w:val="center"/>
          </w:tcPr>
          <w:p w14:paraId="061A4B7B">
            <w:pPr>
              <w:bidi w:val="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w:t>
            </w:r>
          </w:p>
        </w:tc>
        <w:tc>
          <w:tcPr>
            <w:tcW w:w="8413" w:type="dxa"/>
            <w:shd w:val="clear" w:color="auto" w:fill="auto"/>
            <w:vAlign w:val="center"/>
          </w:tcPr>
          <w:p w14:paraId="1C09FEA5">
            <w:pPr>
              <w:bidi w:val="0"/>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1.建立完备的工作纪律、业务范围、岗位分离及制衡等内控管理制度</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包括</w:t>
            </w:r>
            <w:r>
              <w:rPr>
                <w:rFonts w:hint="eastAsia" w:ascii="仿宋_GB2312" w:hAnsi="仿宋_GB2312" w:eastAsia="仿宋_GB2312" w:cs="仿宋_GB2312"/>
                <w:sz w:val="21"/>
                <w:szCs w:val="21"/>
              </w:rPr>
              <w:t>采购代理委托</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采购需求制定</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采购文件编制</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信息公告</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评审管理制度</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保证金管理</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质疑答复</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档案管理</w:t>
            </w:r>
            <w:r>
              <w:rPr>
                <w:rFonts w:hint="eastAsia" w:ascii="仿宋_GB2312" w:hAnsi="仿宋_GB2312" w:eastAsia="仿宋_GB2312" w:cs="仿宋_GB2312"/>
                <w:sz w:val="21"/>
                <w:szCs w:val="21"/>
                <w:lang w:val="en-US" w:eastAsia="zh-CN"/>
              </w:rPr>
              <w:t>等内容。</w:t>
            </w:r>
          </w:p>
          <w:p w14:paraId="47588144">
            <w:pPr>
              <w:bidi w:val="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2.建立完备的法务、财务等其他日常管理制度。</w:t>
            </w:r>
          </w:p>
          <w:p w14:paraId="7FFE9891">
            <w:pPr>
              <w:bidi w:val="0"/>
              <w:ind w:left="191" w:leftChars="0" w:hanging="191" w:hangingChars="91"/>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.严格执行内控管理制度。</w:t>
            </w:r>
          </w:p>
          <w:p w14:paraId="5B27C569">
            <w:pPr>
              <w:bidi w:val="0"/>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r>
              <w:rPr>
                <w:rFonts w:hint="eastAsia" w:ascii="仿宋_GB2312" w:hAnsi="仿宋_GB2312" w:eastAsia="仿宋_GB2312" w:cs="仿宋_GB2312"/>
                <w:sz w:val="21"/>
                <w:szCs w:val="21"/>
              </w:rPr>
              <w:t>.严格执行其他日常管理制度。</w:t>
            </w:r>
          </w:p>
        </w:tc>
        <w:tc>
          <w:tcPr>
            <w:tcW w:w="704" w:type="dxa"/>
            <w:shd w:val="clear" w:color="auto" w:fill="auto"/>
            <w:vAlign w:val="center"/>
          </w:tcPr>
          <w:p w14:paraId="42B707CA">
            <w:pPr>
              <w:bidi w:val="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分</w:t>
            </w:r>
          </w:p>
        </w:tc>
        <w:tc>
          <w:tcPr>
            <w:tcW w:w="1255" w:type="dxa"/>
            <w:shd w:val="clear" w:color="auto" w:fill="auto"/>
            <w:vAlign w:val="top"/>
          </w:tcPr>
          <w:p w14:paraId="0307F728">
            <w:pPr>
              <w:bidi w:val="0"/>
              <w:rPr>
                <w:rFonts w:hint="eastAsia" w:ascii="仿宋_GB2312" w:hAnsi="仿宋_GB2312" w:eastAsia="仿宋_GB2312" w:cs="仿宋_GB2312"/>
                <w:kern w:val="2"/>
                <w:sz w:val="24"/>
                <w:szCs w:val="24"/>
                <w:lang w:val="en-US" w:eastAsia="zh-CN" w:bidi="ar-SA"/>
              </w:rPr>
            </w:pPr>
          </w:p>
        </w:tc>
      </w:tr>
    </w:tbl>
    <w:p w14:paraId="2AA454C4">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default" w:ascii="方正小标宋简体" w:hAnsi="方正小标宋简体" w:eastAsia="方正小标宋简体" w:cs="方正小标宋简体"/>
          <w:sz w:val="52"/>
          <w:szCs w:val="52"/>
          <w:lang w:val="en-US" w:eastAsia="zh-CN"/>
        </w:rPr>
        <w:sectPr>
          <w:pgSz w:w="16838" w:h="11906" w:orient="landscape"/>
          <w:pgMar w:top="1009" w:right="1145" w:bottom="1009" w:left="1593" w:header="851" w:footer="1077" w:gutter="0"/>
          <w:cols w:space="0" w:num="1"/>
          <w:rtlGutter w:val="0"/>
          <w:docGrid w:type="lines" w:linePitch="298" w:charSpace="0"/>
        </w:sectPr>
      </w:pPr>
    </w:p>
    <w:tbl>
      <w:tblPr>
        <w:tblStyle w:val="5"/>
        <w:tblW w:w="142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92"/>
        <w:gridCol w:w="1450"/>
        <w:gridCol w:w="627"/>
        <w:gridCol w:w="8387"/>
        <w:gridCol w:w="688"/>
        <w:gridCol w:w="1312"/>
      </w:tblGrid>
      <w:tr w14:paraId="39EDE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jc w:val="center"/>
        </w:trPr>
        <w:tc>
          <w:tcPr>
            <w:tcW w:w="1792" w:type="dxa"/>
            <w:vAlign w:val="center"/>
          </w:tcPr>
          <w:p w14:paraId="77E224C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一级指标</w:t>
            </w:r>
          </w:p>
        </w:tc>
        <w:tc>
          <w:tcPr>
            <w:tcW w:w="1450" w:type="dxa"/>
            <w:vAlign w:val="center"/>
          </w:tcPr>
          <w:p w14:paraId="4E09032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二级指标</w:t>
            </w:r>
          </w:p>
        </w:tc>
        <w:tc>
          <w:tcPr>
            <w:tcW w:w="627" w:type="dxa"/>
            <w:vAlign w:val="center"/>
          </w:tcPr>
          <w:p w14:paraId="3B9CD34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权重</w:t>
            </w:r>
          </w:p>
        </w:tc>
        <w:tc>
          <w:tcPr>
            <w:tcW w:w="8387" w:type="dxa"/>
            <w:vAlign w:val="center"/>
          </w:tcPr>
          <w:p w14:paraId="6A33CEA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评价内容</w:t>
            </w:r>
          </w:p>
        </w:tc>
        <w:tc>
          <w:tcPr>
            <w:tcW w:w="688" w:type="dxa"/>
            <w:vAlign w:val="center"/>
          </w:tcPr>
          <w:p w14:paraId="5FDE3D4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预测</w:t>
            </w:r>
          </w:p>
          <w:p w14:paraId="1397C43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分值</w:t>
            </w:r>
          </w:p>
        </w:tc>
        <w:tc>
          <w:tcPr>
            <w:tcW w:w="1312" w:type="dxa"/>
            <w:vAlign w:val="center"/>
          </w:tcPr>
          <w:p w14:paraId="761EDA2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财政部门</w:t>
            </w:r>
          </w:p>
          <w:p w14:paraId="11757E9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rPr>
              <w:t>检查评分</w:t>
            </w:r>
          </w:p>
        </w:tc>
      </w:tr>
      <w:tr w14:paraId="0A44C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9" w:hRule="atLeast"/>
          <w:jc w:val="center"/>
        </w:trPr>
        <w:tc>
          <w:tcPr>
            <w:tcW w:w="1792" w:type="dxa"/>
            <w:tcBorders>
              <w:top w:val="single" w:color="000000" w:sz="4" w:space="0"/>
              <w:bottom w:val="single" w:color="000000" w:sz="4" w:space="0"/>
            </w:tcBorders>
            <w:vAlign w:val="center"/>
          </w:tcPr>
          <w:p w14:paraId="56853849">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管理情况</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30</w:t>
            </w:r>
            <w:r>
              <w:rPr>
                <w:rFonts w:hint="eastAsia" w:ascii="仿宋_GB2312" w:hAnsi="仿宋_GB2312" w:eastAsia="仿宋_GB2312" w:cs="仿宋_GB2312"/>
                <w:sz w:val="24"/>
                <w:szCs w:val="24"/>
              </w:rPr>
              <w:t>%)</w:t>
            </w:r>
          </w:p>
        </w:tc>
        <w:tc>
          <w:tcPr>
            <w:tcW w:w="1450" w:type="dxa"/>
            <w:tcBorders>
              <w:top w:val="single" w:color="000000" w:sz="4" w:space="0"/>
            </w:tcBorders>
            <w:vAlign w:val="center"/>
          </w:tcPr>
          <w:p w14:paraId="00C49C7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2.4业绩情况</w:t>
            </w:r>
          </w:p>
        </w:tc>
        <w:tc>
          <w:tcPr>
            <w:tcW w:w="627" w:type="dxa"/>
            <w:tcBorders>
              <w:top w:val="single" w:color="000000" w:sz="4" w:space="0"/>
              <w:bottom w:val="single" w:color="000000" w:sz="4" w:space="0"/>
            </w:tcBorders>
            <w:vAlign w:val="center"/>
          </w:tcPr>
          <w:p w14:paraId="16885A6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p>
        </w:tc>
        <w:tc>
          <w:tcPr>
            <w:tcW w:w="8387" w:type="dxa"/>
            <w:tcBorders>
              <w:top w:val="single" w:color="000000" w:sz="4" w:space="0"/>
              <w:bottom w:val="single" w:color="000000" w:sz="4" w:space="0"/>
            </w:tcBorders>
            <w:vAlign w:val="center"/>
          </w:tcPr>
          <w:p w14:paraId="61640587">
            <w:pPr>
              <w:keepNext w:val="0"/>
              <w:keepLines w:val="0"/>
              <w:pageBreakBefore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根据该季度“大代理”执行项目占该季度总代理项目百分比得分：</w:t>
            </w:r>
          </w:p>
          <w:p w14:paraId="67B5FEFB">
            <w:pPr>
              <w:keepNext w:val="0"/>
              <w:keepLines w:val="0"/>
              <w:pageBreakBefore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100%-80%得5分，80%-60%得3分，60%以下得0分。</w:t>
            </w:r>
          </w:p>
        </w:tc>
        <w:tc>
          <w:tcPr>
            <w:tcW w:w="688" w:type="dxa"/>
            <w:tcBorders>
              <w:top w:val="single" w:color="000000" w:sz="4" w:space="0"/>
              <w:bottom w:val="single" w:color="000000" w:sz="4" w:space="0"/>
            </w:tcBorders>
            <w:vAlign w:val="center"/>
          </w:tcPr>
          <w:p w14:paraId="4B697534">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5分</w:t>
            </w:r>
          </w:p>
        </w:tc>
        <w:tc>
          <w:tcPr>
            <w:tcW w:w="1312" w:type="dxa"/>
            <w:tcBorders>
              <w:top w:val="single" w:color="000000" w:sz="4" w:space="0"/>
              <w:bottom w:val="single" w:color="000000" w:sz="4" w:space="0"/>
            </w:tcBorders>
            <w:vAlign w:val="top"/>
          </w:tcPr>
          <w:p w14:paraId="0AA94648">
            <w:pPr>
              <w:keepNext w:val="0"/>
              <w:keepLines w:val="0"/>
              <w:pageBreakBefore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rPr>
            </w:pPr>
          </w:p>
        </w:tc>
      </w:tr>
      <w:tr w14:paraId="32E38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5" w:hRule="exact"/>
          <w:jc w:val="center"/>
        </w:trPr>
        <w:tc>
          <w:tcPr>
            <w:tcW w:w="1792" w:type="dxa"/>
            <w:vMerge w:val="restart"/>
            <w:tcBorders>
              <w:top w:val="single" w:color="000000" w:sz="4" w:space="0"/>
              <w:bottom w:val="single" w:color="000000" w:sz="4" w:space="0"/>
            </w:tcBorders>
            <w:vAlign w:val="center"/>
          </w:tcPr>
          <w:p w14:paraId="42EE7F26">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3.</w:t>
            </w:r>
            <w:r>
              <w:rPr>
                <w:rFonts w:hint="eastAsia" w:ascii="仿宋_GB2312" w:hAnsi="仿宋_GB2312" w:eastAsia="仿宋_GB2312" w:cs="仿宋_GB2312"/>
                <w:sz w:val="24"/>
                <w:szCs w:val="24"/>
                <w:lang w:val="en-US" w:eastAsia="zh-CN"/>
              </w:rPr>
              <w:t>代理</w:t>
            </w:r>
          </w:p>
          <w:p w14:paraId="1E195B86">
            <w:pPr>
              <w:keepNext w:val="0"/>
              <w:keepLines w:val="0"/>
              <w:pageBreakBefore w:val="0"/>
              <w:numPr>
                <w:ilvl w:val="0"/>
                <w:numId w:val="0"/>
              </w:numPr>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执业情况（55%）</w:t>
            </w:r>
          </w:p>
        </w:tc>
        <w:tc>
          <w:tcPr>
            <w:tcW w:w="1450" w:type="dxa"/>
            <w:vMerge w:val="restart"/>
            <w:tcBorders>
              <w:top w:val="single" w:color="000000" w:sz="4" w:space="0"/>
            </w:tcBorders>
            <w:vAlign w:val="center"/>
          </w:tcPr>
          <w:p w14:paraId="380C424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3.1采购前</w:t>
            </w:r>
          </w:p>
          <w:p w14:paraId="26FE839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代理工作</w:t>
            </w:r>
            <w:r>
              <w:rPr>
                <w:rFonts w:hint="eastAsia" w:ascii="仿宋_GB2312" w:hAnsi="仿宋_GB2312" w:eastAsia="仿宋_GB2312" w:cs="仿宋_GB2312"/>
                <w:sz w:val="24"/>
                <w:szCs w:val="24"/>
              </w:rPr>
              <w:t>情况</w:t>
            </w:r>
          </w:p>
        </w:tc>
        <w:tc>
          <w:tcPr>
            <w:tcW w:w="627" w:type="dxa"/>
            <w:tcBorders>
              <w:top w:val="single" w:color="000000" w:sz="4" w:space="0"/>
              <w:bottom w:val="single" w:color="000000" w:sz="4" w:space="0"/>
            </w:tcBorders>
            <w:vAlign w:val="center"/>
          </w:tcPr>
          <w:p w14:paraId="67D3016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4"/>
                <w:szCs w:val="24"/>
              </w:rPr>
            </w:pPr>
          </w:p>
          <w:p w14:paraId="7230A4F8">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p w14:paraId="15C9203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4"/>
                <w:szCs w:val="24"/>
              </w:rPr>
            </w:pPr>
          </w:p>
        </w:tc>
        <w:tc>
          <w:tcPr>
            <w:tcW w:w="8387" w:type="dxa"/>
            <w:tcBorders>
              <w:top w:val="single" w:color="000000" w:sz="4" w:space="0"/>
              <w:bottom w:val="single" w:color="000000" w:sz="4" w:space="0"/>
            </w:tcBorders>
            <w:vAlign w:val="center"/>
          </w:tcPr>
          <w:p w14:paraId="2A84EBA9">
            <w:pPr>
              <w:keepNext w:val="0"/>
              <w:keepLines w:val="0"/>
              <w:pageBreakBefore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项目执行：内控制度建设</w:t>
            </w:r>
          </w:p>
          <w:p w14:paraId="7CB12D03">
            <w:pPr>
              <w:keepNext w:val="0"/>
              <w:keepLines w:val="0"/>
              <w:pageBreakBefore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1.为采购人提供咨询服务，协助采</w:t>
            </w:r>
            <w:bookmarkStart w:id="0" w:name="_GoBack"/>
            <w:bookmarkEnd w:id="0"/>
            <w:r>
              <w:rPr>
                <w:rFonts w:hint="eastAsia" w:ascii="仿宋_GB2312" w:hAnsi="仿宋_GB2312" w:eastAsia="仿宋_GB2312" w:cs="仿宋_GB2312"/>
                <w:lang w:val="en-US" w:eastAsia="zh-CN"/>
              </w:rPr>
              <w:t>购人建立“分事行权、分岗设权、分级授权”的政府采购内控制度。</w:t>
            </w:r>
          </w:p>
        </w:tc>
        <w:tc>
          <w:tcPr>
            <w:tcW w:w="688" w:type="dxa"/>
            <w:tcBorders>
              <w:top w:val="single" w:color="000000" w:sz="4" w:space="0"/>
              <w:bottom w:val="single" w:color="000000" w:sz="4" w:space="0"/>
            </w:tcBorders>
            <w:vAlign w:val="center"/>
          </w:tcPr>
          <w:p w14:paraId="2A28808F">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2分</w:t>
            </w:r>
          </w:p>
        </w:tc>
        <w:tc>
          <w:tcPr>
            <w:tcW w:w="1312" w:type="dxa"/>
            <w:tcBorders>
              <w:top w:val="single" w:color="000000" w:sz="4" w:space="0"/>
              <w:bottom w:val="single" w:color="000000" w:sz="4" w:space="0"/>
            </w:tcBorders>
            <w:vAlign w:val="top"/>
          </w:tcPr>
          <w:p w14:paraId="6601435B">
            <w:pPr>
              <w:keepNext w:val="0"/>
              <w:keepLines w:val="0"/>
              <w:pageBreakBefore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rPr>
            </w:pPr>
          </w:p>
        </w:tc>
      </w:tr>
      <w:tr w14:paraId="29524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jc w:val="center"/>
        </w:trPr>
        <w:tc>
          <w:tcPr>
            <w:tcW w:w="1792" w:type="dxa"/>
            <w:vMerge w:val="continue"/>
            <w:vAlign w:val="center"/>
          </w:tcPr>
          <w:p w14:paraId="2CD3414B">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4"/>
                <w:szCs w:val="24"/>
                <w:lang w:val="en-US" w:eastAsia="zh-CN"/>
              </w:rPr>
            </w:pPr>
          </w:p>
        </w:tc>
        <w:tc>
          <w:tcPr>
            <w:tcW w:w="1450" w:type="dxa"/>
            <w:vMerge w:val="continue"/>
            <w:tcBorders>
              <w:bottom w:val="single" w:color="000000" w:sz="4" w:space="0"/>
            </w:tcBorders>
            <w:vAlign w:val="center"/>
          </w:tcPr>
          <w:p w14:paraId="5F28522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4"/>
                <w:szCs w:val="24"/>
                <w:lang w:val="en-US" w:eastAsia="zh-CN"/>
              </w:rPr>
            </w:pPr>
          </w:p>
        </w:tc>
        <w:tc>
          <w:tcPr>
            <w:tcW w:w="627" w:type="dxa"/>
            <w:tcBorders>
              <w:top w:val="single" w:color="000000" w:sz="4" w:space="0"/>
              <w:bottom w:val="single" w:color="000000" w:sz="4" w:space="0"/>
            </w:tcBorders>
            <w:vAlign w:val="center"/>
          </w:tcPr>
          <w:p w14:paraId="5F2CA91E">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8387" w:type="dxa"/>
            <w:tcBorders>
              <w:top w:val="single" w:color="000000" w:sz="4" w:space="0"/>
              <w:bottom w:val="single" w:color="000000" w:sz="4" w:space="0"/>
            </w:tcBorders>
            <w:vAlign w:val="center"/>
          </w:tcPr>
          <w:p w14:paraId="639E5773">
            <w:pPr>
              <w:keepNext w:val="0"/>
              <w:keepLines w:val="0"/>
              <w:pageBreakBefore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rPr>
            </w:pPr>
            <w:r>
              <w:rPr>
                <w:rFonts w:hint="eastAsia" w:ascii="仿宋_GB2312" w:hAnsi="仿宋_GB2312" w:eastAsia="仿宋_GB2312" w:cs="仿宋_GB2312"/>
              </w:rPr>
              <w:t>项目执行：采购代理委托</w:t>
            </w:r>
          </w:p>
          <w:p w14:paraId="4518F31C">
            <w:pPr>
              <w:keepNext w:val="0"/>
              <w:keepLines w:val="0"/>
              <w:pageBreakBefore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w:t>
            </w:r>
            <w:r>
              <w:rPr>
                <w:rFonts w:hint="eastAsia" w:ascii="仿宋_GB2312" w:hAnsi="仿宋_GB2312" w:eastAsia="仿宋_GB2312" w:cs="仿宋_GB2312"/>
              </w:rPr>
              <w:t>.合法签订委托代理协议</w:t>
            </w:r>
            <w:r>
              <w:rPr>
                <w:rFonts w:hint="eastAsia" w:ascii="仿宋_GB2312" w:hAnsi="仿宋_GB2312" w:eastAsia="仿宋_GB2312" w:cs="仿宋_GB2312"/>
                <w:lang w:val="en-US" w:eastAsia="zh-CN"/>
              </w:rPr>
              <w:t>及政府采购代理机构全过程服务协议</w:t>
            </w:r>
          </w:p>
          <w:p w14:paraId="4F6CE1F2">
            <w:pPr>
              <w:keepNext w:val="0"/>
              <w:keepLines w:val="0"/>
              <w:pageBreakBefore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rPr>
            </w:pPr>
            <w:r>
              <w:rPr>
                <w:rFonts w:hint="eastAsia" w:ascii="仿宋_GB2312" w:hAnsi="仿宋_GB2312" w:eastAsia="仿宋_GB2312" w:cs="仿宋_GB2312"/>
              </w:rPr>
              <w:t>2.明示代理费用收取方式及标准。</w:t>
            </w:r>
          </w:p>
          <w:p w14:paraId="198871F2">
            <w:pPr>
              <w:keepNext w:val="0"/>
              <w:keepLines w:val="0"/>
              <w:pageBreakBefore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lang w:eastAsia="zh-CN"/>
              </w:rPr>
            </w:pPr>
            <w:r>
              <w:rPr>
                <w:rFonts w:hint="eastAsia" w:ascii="仿宋_GB2312" w:hAnsi="仿宋_GB2312" w:eastAsia="仿宋_GB2312" w:cs="仿宋_GB2312"/>
              </w:rPr>
              <w:t>3.未代理集中采购目录内的货物、工程和服务。</w:t>
            </w:r>
          </w:p>
          <w:p w14:paraId="40FA2640">
            <w:pPr>
              <w:keepNext w:val="0"/>
              <w:keepLines w:val="0"/>
              <w:pageBreakBefore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rPr>
              <w:t>4.核实采购人进口产品审核情况。</w:t>
            </w:r>
          </w:p>
        </w:tc>
        <w:tc>
          <w:tcPr>
            <w:tcW w:w="688" w:type="dxa"/>
            <w:tcBorders>
              <w:top w:val="single" w:color="000000" w:sz="4" w:space="0"/>
              <w:bottom w:val="single" w:color="000000" w:sz="4" w:space="0"/>
            </w:tcBorders>
            <w:vAlign w:val="center"/>
          </w:tcPr>
          <w:p w14:paraId="773A9FD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分</w:t>
            </w:r>
          </w:p>
        </w:tc>
        <w:tc>
          <w:tcPr>
            <w:tcW w:w="1312" w:type="dxa"/>
            <w:tcBorders>
              <w:top w:val="single" w:color="000000" w:sz="4" w:space="0"/>
              <w:bottom w:val="single" w:color="000000" w:sz="4" w:space="0"/>
            </w:tcBorders>
            <w:vAlign w:val="top"/>
          </w:tcPr>
          <w:p w14:paraId="5D71BA71">
            <w:pPr>
              <w:keepNext w:val="0"/>
              <w:keepLines w:val="0"/>
              <w:pageBreakBefore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rPr>
            </w:pPr>
          </w:p>
        </w:tc>
      </w:tr>
      <w:tr w14:paraId="020F4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9" w:hRule="atLeast"/>
          <w:jc w:val="center"/>
        </w:trPr>
        <w:tc>
          <w:tcPr>
            <w:tcW w:w="1792" w:type="dxa"/>
            <w:vMerge w:val="continue"/>
            <w:tcBorders>
              <w:top w:val="single" w:color="000000" w:sz="4" w:space="0"/>
              <w:bottom w:val="single" w:color="000000" w:sz="4" w:space="0"/>
            </w:tcBorders>
            <w:vAlign w:val="center"/>
          </w:tcPr>
          <w:p w14:paraId="24C631E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4"/>
                <w:szCs w:val="24"/>
              </w:rPr>
            </w:pPr>
          </w:p>
        </w:tc>
        <w:tc>
          <w:tcPr>
            <w:tcW w:w="1450" w:type="dxa"/>
            <w:vMerge w:val="restart"/>
            <w:tcBorders>
              <w:top w:val="single" w:color="000000" w:sz="4" w:space="0"/>
              <w:bottom w:val="single" w:color="000000" w:sz="4" w:space="0"/>
            </w:tcBorders>
            <w:vAlign w:val="center"/>
          </w:tcPr>
          <w:p w14:paraId="761645D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3.2采购中</w:t>
            </w:r>
          </w:p>
          <w:p w14:paraId="130F9BF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代理工作情况</w:t>
            </w:r>
          </w:p>
        </w:tc>
        <w:tc>
          <w:tcPr>
            <w:tcW w:w="627" w:type="dxa"/>
            <w:tcBorders>
              <w:top w:val="single" w:color="000000" w:sz="4" w:space="0"/>
              <w:bottom w:val="single" w:color="000000" w:sz="4" w:space="0"/>
            </w:tcBorders>
            <w:vAlign w:val="center"/>
          </w:tcPr>
          <w:p w14:paraId="6DF4CB1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8387" w:type="dxa"/>
            <w:tcBorders>
              <w:top w:val="single" w:color="000000" w:sz="4" w:space="0"/>
              <w:bottom w:val="single" w:color="000000" w:sz="4" w:space="0"/>
            </w:tcBorders>
            <w:vAlign w:val="center"/>
          </w:tcPr>
          <w:p w14:paraId="4BEF95BB">
            <w:pPr>
              <w:keepNext w:val="0"/>
              <w:keepLines w:val="0"/>
              <w:pageBreakBefore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项目执行：采购需求制定</w:t>
            </w:r>
          </w:p>
          <w:p w14:paraId="6E87CFD3">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rPr>
            </w:pPr>
            <w:r>
              <w:rPr>
                <w:rFonts w:hint="eastAsia" w:ascii="仿宋_GB2312" w:hAnsi="仿宋_GB2312" w:eastAsia="仿宋_GB2312" w:cs="仿宋_GB2312"/>
                <w:kern w:val="2"/>
                <w:sz w:val="21"/>
                <w:szCs w:val="21"/>
                <w:lang w:val="en-US" w:eastAsia="zh-CN" w:bidi="ar-SA"/>
              </w:rPr>
              <w:t>1.</w:t>
            </w:r>
            <w:r>
              <w:rPr>
                <w:rFonts w:hint="eastAsia" w:ascii="仿宋_GB2312" w:hAnsi="仿宋_GB2312" w:eastAsia="仿宋_GB2312" w:cs="仿宋_GB2312"/>
                <w:sz w:val="21"/>
                <w:szCs w:val="21"/>
              </w:rPr>
              <w:t xml:space="preserve">采购需求符合国家法律法规，执行国家、行业、地方等相关标准。 </w:t>
            </w:r>
          </w:p>
          <w:p w14:paraId="07CC5B50">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2.采购需求完整、明确。</w:t>
            </w:r>
          </w:p>
          <w:p w14:paraId="321F5F8B">
            <w:pPr>
              <w:keepNext w:val="0"/>
              <w:keepLines w:val="0"/>
              <w:pageBreakBefore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3.对于政府向社会公众提供的公共服务项目，就采购需求向社会公众、相关供应商、专家征求意见。</w:t>
            </w:r>
          </w:p>
          <w:p w14:paraId="090CD455">
            <w:pPr>
              <w:keepNext w:val="0"/>
              <w:keepLines w:val="0"/>
              <w:pageBreakBefore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val="en-US" w:eastAsia="zh-CN"/>
              </w:rPr>
              <w:t>4.</w:t>
            </w:r>
            <w:r>
              <w:rPr>
                <w:rFonts w:hint="eastAsia" w:ascii="仿宋_GB2312" w:hAnsi="仿宋_GB2312" w:eastAsia="仿宋_GB2312" w:cs="仿宋_GB2312"/>
                <w:sz w:val="21"/>
                <w:szCs w:val="21"/>
              </w:rPr>
              <w:t>协助采购人进行必要的市场调研，从科学性、准确性、合理性和合规性出发设置采购需求、资格条件及评分细则</w:t>
            </w:r>
            <w:r>
              <w:rPr>
                <w:rFonts w:hint="eastAsia" w:ascii="仿宋_GB2312" w:hAnsi="仿宋_GB2312" w:eastAsia="仿宋_GB2312" w:cs="仿宋_GB2312"/>
                <w:sz w:val="21"/>
                <w:szCs w:val="21"/>
                <w:lang w:eastAsia="zh-CN"/>
              </w:rPr>
              <w:t>。</w:t>
            </w:r>
          </w:p>
          <w:p w14:paraId="094A1F99">
            <w:pPr>
              <w:keepNext w:val="0"/>
              <w:keepLines w:val="0"/>
              <w:pageBreakBefore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5.协助采购人出具书面形式的需求咨询、需求调查、或需求论证等报告。</w:t>
            </w:r>
          </w:p>
          <w:p w14:paraId="0B0BD67D">
            <w:pPr>
              <w:keepNext w:val="0"/>
              <w:keepLines w:val="0"/>
              <w:pageBreakBefore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w:t>
            </w:r>
            <w:r>
              <w:rPr>
                <w:rFonts w:hint="eastAsia" w:ascii="仿宋_GB2312" w:hAnsi="仿宋_GB2312" w:eastAsia="仿宋_GB2312" w:cs="仿宋_GB2312"/>
                <w:sz w:val="21"/>
                <w:szCs w:val="21"/>
              </w:rPr>
              <w:t>.落实政府采购政策。(绿色建筑、绿色建材，绿色包装，节能产品， 环境标志产品，中小企业，监狱企业，残疾人福利性单位，不发达、 少数民族地区的企业，促进自主创新产业发展，支持脱贫攻坚等。)</w:t>
            </w:r>
          </w:p>
          <w:p w14:paraId="717F420F">
            <w:pPr>
              <w:keepNext w:val="0"/>
              <w:keepLines w:val="0"/>
              <w:pageBreakBefore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rPr>
            </w:pPr>
            <w:r>
              <w:rPr>
                <w:rFonts w:hint="eastAsia" w:ascii="仿宋_GB2312" w:hAnsi="仿宋_GB2312" w:eastAsia="仿宋_GB2312" w:cs="仿宋_GB2312"/>
                <w:sz w:val="21"/>
                <w:szCs w:val="21"/>
                <w:lang w:val="en-US" w:eastAsia="zh-CN"/>
              </w:rPr>
              <w:t>7</w:t>
            </w:r>
            <w:r>
              <w:rPr>
                <w:rFonts w:hint="eastAsia" w:ascii="仿宋_GB2312" w:hAnsi="仿宋_GB2312" w:eastAsia="仿宋_GB2312" w:cs="仿宋_GB2312"/>
                <w:sz w:val="21"/>
                <w:szCs w:val="21"/>
              </w:rPr>
              <w:t>.未存在专利、专用技术和指向性技术指标</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未指定产品、品牌、技术和唯一性工艺。</w:t>
            </w:r>
          </w:p>
        </w:tc>
        <w:tc>
          <w:tcPr>
            <w:tcW w:w="688" w:type="dxa"/>
            <w:tcBorders>
              <w:top w:val="single" w:color="000000" w:sz="4" w:space="0"/>
              <w:bottom w:val="single" w:color="000000" w:sz="4" w:space="0"/>
            </w:tcBorders>
            <w:vAlign w:val="center"/>
          </w:tcPr>
          <w:p w14:paraId="3547BC1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3分</w:t>
            </w:r>
          </w:p>
        </w:tc>
        <w:tc>
          <w:tcPr>
            <w:tcW w:w="1312" w:type="dxa"/>
            <w:tcBorders>
              <w:top w:val="single" w:color="000000" w:sz="4" w:space="0"/>
              <w:bottom w:val="single" w:color="000000" w:sz="4" w:space="0"/>
            </w:tcBorders>
            <w:vAlign w:val="top"/>
          </w:tcPr>
          <w:p w14:paraId="453DCDE1">
            <w:pPr>
              <w:keepNext w:val="0"/>
              <w:keepLines w:val="0"/>
              <w:pageBreakBefore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rPr>
            </w:pPr>
          </w:p>
        </w:tc>
      </w:tr>
      <w:tr w14:paraId="38835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1" w:hRule="atLeast"/>
          <w:jc w:val="center"/>
        </w:trPr>
        <w:tc>
          <w:tcPr>
            <w:tcW w:w="1792" w:type="dxa"/>
            <w:vMerge w:val="continue"/>
            <w:tcBorders>
              <w:top w:val="single" w:color="000000" w:sz="4" w:space="0"/>
              <w:bottom w:val="single" w:color="000000" w:sz="4" w:space="0"/>
            </w:tcBorders>
            <w:vAlign w:val="center"/>
          </w:tcPr>
          <w:p w14:paraId="1049D8B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4"/>
                <w:szCs w:val="24"/>
              </w:rPr>
            </w:pPr>
          </w:p>
        </w:tc>
        <w:tc>
          <w:tcPr>
            <w:tcW w:w="1450" w:type="dxa"/>
            <w:vMerge w:val="continue"/>
            <w:tcBorders>
              <w:top w:val="single" w:color="000000" w:sz="4" w:space="0"/>
              <w:bottom w:val="single" w:color="000000" w:sz="4" w:space="0"/>
            </w:tcBorders>
            <w:vAlign w:val="center"/>
          </w:tcPr>
          <w:p w14:paraId="14C4B8D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4"/>
                <w:szCs w:val="24"/>
                <w:lang w:val="en-US" w:eastAsia="zh-CN"/>
              </w:rPr>
            </w:pPr>
          </w:p>
        </w:tc>
        <w:tc>
          <w:tcPr>
            <w:tcW w:w="627" w:type="dxa"/>
            <w:tcBorders>
              <w:top w:val="single" w:color="000000" w:sz="4" w:space="0"/>
              <w:bottom w:val="single" w:color="000000" w:sz="4" w:space="0"/>
            </w:tcBorders>
            <w:vAlign w:val="center"/>
          </w:tcPr>
          <w:p w14:paraId="16302A9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8387" w:type="dxa"/>
            <w:tcBorders>
              <w:top w:val="single" w:color="000000" w:sz="4" w:space="0"/>
              <w:bottom w:val="single" w:color="000000" w:sz="4" w:space="0"/>
            </w:tcBorders>
            <w:shd w:val="clear" w:color="auto" w:fill="auto"/>
            <w:vAlign w:val="center"/>
          </w:tcPr>
          <w:p w14:paraId="0216041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项目执行：采购需求和实施计划审查</w:t>
            </w:r>
          </w:p>
          <w:p w14:paraId="0724C1E6">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lang w:val="en-US" w:eastAsia="zh-CN"/>
              </w:rPr>
              <w:t>1.审查结束后，协助采购人出具书面形式的需求咨询、需求调查、或需求论证等报告。</w:t>
            </w:r>
          </w:p>
        </w:tc>
        <w:tc>
          <w:tcPr>
            <w:tcW w:w="688" w:type="dxa"/>
            <w:tcBorders>
              <w:top w:val="single" w:color="000000" w:sz="4" w:space="0"/>
              <w:bottom w:val="single" w:color="000000" w:sz="4" w:space="0"/>
            </w:tcBorders>
            <w:shd w:val="clear" w:color="auto" w:fill="auto"/>
            <w:vAlign w:val="center"/>
          </w:tcPr>
          <w:p w14:paraId="4CFD5D1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3分</w:t>
            </w:r>
          </w:p>
        </w:tc>
        <w:tc>
          <w:tcPr>
            <w:tcW w:w="1312" w:type="dxa"/>
            <w:tcBorders>
              <w:top w:val="single" w:color="000000" w:sz="4" w:space="0"/>
              <w:bottom w:val="single" w:color="000000" w:sz="4" w:space="0"/>
            </w:tcBorders>
            <w:vAlign w:val="top"/>
          </w:tcPr>
          <w:p w14:paraId="6D4466EB">
            <w:pPr>
              <w:keepNext w:val="0"/>
              <w:keepLines w:val="0"/>
              <w:pageBreakBefore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rPr>
            </w:pPr>
          </w:p>
        </w:tc>
      </w:tr>
    </w:tbl>
    <w:tbl>
      <w:tblPr>
        <w:tblStyle w:val="5"/>
        <w:tblpPr w:leftFromText="180" w:rightFromText="180" w:vertAnchor="text" w:horzAnchor="page" w:tblpXSpec="center" w:tblpY="113"/>
        <w:tblOverlap w:val="never"/>
        <w:tblW w:w="141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21"/>
        <w:gridCol w:w="1437"/>
        <w:gridCol w:w="863"/>
        <w:gridCol w:w="8161"/>
        <w:gridCol w:w="751"/>
        <w:gridCol w:w="1232"/>
      </w:tblGrid>
      <w:tr w14:paraId="5D16BC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jc w:val="center"/>
        </w:trPr>
        <w:tc>
          <w:tcPr>
            <w:tcW w:w="1721" w:type="dxa"/>
            <w:vAlign w:val="center"/>
          </w:tcPr>
          <w:p w14:paraId="2ADEF462">
            <w:pPr>
              <w:keepNext w:val="0"/>
              <w:keepLines w:val="0"/>
              <w:pageBreakBefore w:val="0"/>
              <w:widowControl w:val="0"/>
              <w:kinsoku/>
              <w:wordWrap/>
              <w:overflowPunct/>
              <w:topLinePunct w:val="0"/>
              <w:autoSpaceDE/>
              <w:autoSpaceDN/>
              <w:bidi w:val="0"/>
              <w:adjustRightInd/>
              <w:snapToGrid/>
              <w:spacing w:line="300" w:lineRule="exact"/>
              <w:ind w:left="219" w:leftChars="0" w:hanging="219" w:hangingChars="91"/>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一级指标</w:t>
            </w:r>
          </w:p>
        </w:tc>
        <w:tc>
          <w:tcPr>
            <w:tcW w:w="1437" w:type="dxa"/>
            <w:vAlign w:val="center"/>
          </w:tcPr>
          <w:p w14:paraId="65D7A2C9">
            <w:pPr>
              <w:keepNext w:val="0"/>
              <w:keepLines w:val="0"/>
              <w:pageBreakBefore w:val="0"/>
              <w:widowControl w:val="0"/>
              <w:kinsoku/>
              <w:wordWrap/>
              <w:overflowPunct/>
              <w:topLinePunct w:val="0"/>
              <w:autoSpaceDE/>
              <w:autoSpaceDN/>
              <w:bidi w:val="0"/>
              <w:adjustRightInd/>
              <w:snapToGrid/>
              <w:spacing w:line="300" w:lineRule="exact"/>
              <w:ind w:left="219" w:leftChars="0" w:hanging="219" w:hangingChars="91"/>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二级指标</w:t>
            </w:r>
          </w:p>
        </w:tc>
        <w:tc>
          <w:tcPr>
            <w:tcW w:w="863" w:type="dxa"/>
            <w:vAlign w:val="center"/>
          </w:tcPr>
          <w:p w14:paraId="2DEADA2E">
            <w:pPr>
              <w:keepNext w:val="0"/>
              <w:keepLines w:val="0"/>
              <w:pageBreakBefore w:val="0"/>
              <w:widowControl w:val="0"/>
              <w:kinsoku/>
              <w:wordWrap/>
              <w:overflowPunct/>
              <w:topLinePunct w:val="0"/>
              <w:autoSpaceDE/>
              <w:autoSpaceDN/>
              <w:bidi w:val="0"/>
              <w:adjustRightInd/>
              <w:snapToGrid/>
              <w:spacing w:line="300" w:lineRule="exact"/>
              <w:ind w:left="219" w:leftChars="0" w:hanging="219" w:hangingChars="91"/>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权重</w:t>
            </w:r>
          </w:p>
        </w:tc>
        <w:tc>
          <w:tcPr>
            <w:tcW w:w="8161" w:type="dxa"/>
            <w:vAlign w:val="center"/>
          </w:tcPr>
          <w:p w14:paraId="3345873B">
            <w:pPr>
              <w:keepNext w:val="0"/>
              <w:keepLines w:val="0"/>
              <w:pageBreakBefore w:val="0"/>
              <w:widowControl w:val="0"/>
              <w:kinsoku/>
              <w:wordWrap/>
              <w:overflowPunct/>
              <w:topLinePunct w:val="0"/>
              <w:autoSpaceDE/>
              <w:autoSpaceDN/>
              <w:bidi w:val="0"/>
              <w:adjustRightInd/>
              <w:snapToGrid/>
              <w:spacing w:line="300" w:lineRule="exact"/>
              <w:ind w:left="219" w:leftChars="0" w:hanging="219" w:hangingChars="91"/>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评价内容</w:t>
            </w:r>
          </w:p>
        </w:tc>
        <w:tc>
          <w:tcPr>
            <w:tcW w:w="751" w:type="dxa"/>
            <w:vAlign w:val="center"/>
          </w:tcPr>
          <w:p w14:paraId="21DD6499">
            <w:pPr>
              <w:keepNext w:val="0"/>
              <w:keepLines w:val="0"/>
              <w:pageBreakBefore w:val="0"/>
              <w:widowControl w:val="0"/>
              <w:kinsoku/>
              <w:wordWrap/>
              <w:overflowPunct/>
              <w:topLinePunct w:val="0"/>
              <w:autoSpaceDE/>
              <w:autoSpaceDN/>
              <w:bidi w:val="0"/>
              <w:adjustRightInd/>
              <w:snapToGrid/>
              <w:spacing w:line="300" w:lineRule="exact"/>
              <w:ind w:left="219" w:leftChars="0" w:hanging="219" w:hangingChars="91"/>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分值</w:t>
            </w:r>
          </w:p>
        </w:tc>
        <w:tc>
          <w:tcPr>
            <w:tcW w:w="1232" w:type="dxa"/>
            <w:vAlign w:val="center"/>
          </w:tcPr>
          <w:p w14:paraId="2D31BEE8">
            <w:pPr>
              <w:keepNext w:val="0"/>
              <w:keepLines w:val="0"/>
              <w:pageBreakBefore w:val="0"/>
              <w:widowControl w:val="0"/>
              <w:kinsoku/>
              <w:wordWrap/>
              <w:overflowPunct/>
              <w:topLinePunct w:val="0"/>
              <w:autoSpaceDE/>
              <w:autoSpaceDN/>
              <w:bidi w:val="0"/>
              <w:adjustRightInd/>
              <w:snapToGrid/>
              <w:spacing w:line="300" w:lineRule="exact"/>
              <w:ind w:left="219" w:leftChars="0" w:hanging="219" w:hangingChars="91"/>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财政部门</w:t>
            </w:r>
          </w:p>
          <w:p w14:paraId="5F34ED39">
            <w:pPr>
              <w:keepNext w:val="0"/>
              <w:keepLines w:val="0"/>
              <w:pageBreakBefore w:val="0"/>
              <w:widowControl w:val="0"/>
              <w:kinsoku/>
              <w:wordWrap/>
              <w:overflowPunct/>
              <w:topLinePunct w:val="0"/>
              <w:autoSpaceDE/>
              <w:autoSpaceDN/>
              <w:bidi w:val="0"/>
              <w:adjustRightInd/>
              <w:snapToGrid/>
              <w:spacing w:line="300" w:lineRule="exact"/>
              <w:ind w:left="219" w:leftChars="0" w:hanging="219" w:hangingChars="91"/>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检查组评分</w:t>
            </w:r>
          </w:p>
        </w:tc>
      </w:tr>
      <w:tr w14:paraId="47C06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4" w:hRule="atLeast"/>
          <w:jc w:val="center"/>
        </w:trPr>
        <w:tc>
          <w:tcPr>
            <w:tcW w:w="1721" w:type="dxa"/>
            <w:vMerge w:val="restart"/>
            <w:vAlign w:val="center"/>
          </w:tcPr>
          <w:p w14:paraId="1FB1804C">
            <w:pPr>
              <w:numPr>
                <w:ilvl w:val="0"/>
                <w:numId w:val="0"/>
              </w:num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3.</w:t>
            </w:r>
            <w:r>
              <w:rPr>
                <w:rFonts w:hint="eastAsia" w:ascii="仿宋_GB2312" w:hAnsi="仿宋_GB2312" w:eastAsia="仿宋_GB2312" w:cs="仿宋_GB2312"/>
                <w:sz w:val="24"/>
                <w:szCs w:val="24"/>
                <w:lang w:val="en-US" w:eastAsia="zh-CN"/>
              </w:rPr>
              <w:t>代理</w:t>
            </w:r>
          </w:p>
          <w:p w14:paraId="291BA8B8">
            <w:pPr>
              <w:pStyle w:val="6"/>
              <w:numPr>
                <w:ilvl w:val="0"/>
                <w:numId w:val="0"/>
              </w:numPr>
              <w:spacing w:before="75" w:line="219" w:lineRule="auto"/>
              <w:ind w:left="218" w:leftChars="0" w:hanging="218" w:hangingChars="91"/>
              <w:jc w:val="center"/>
              <w:rPr>
                <w:rFonts w:hint="eastAsia" w:ascii="仿宋_GB2312" w:hAnsi="仿宋_GB2312" w:eastAsia="仿宋_GB2312" w:cs="仿宋_GB2312"/>
                <w:spacing w:val="0"/>
                <w:sz w:val="24"/>
                <w:szCs w:val="24"/>
              </w:rPr>
            </w:pPr>
            <w:r>
              <w:rPr>
                <w:rFonts w:hint="eastAsia" w:ascii="仿宋_GB2312" w:hAnsi="仿宋_GB2312" w:eastAsia="仿宋_GB2312" w:cs="仿宋_GB2312"/>
                <w:sz w:val="24"/>
                <w:szCs w:val="24"/>
                <w:lang w:val="en-US" w:eastAsia="zh-CN"/>
              </w:rPr>
              <w:t>执业情况（55%）</w:t>
            </w:r>
          </w:p>
        </w:tc>
        <w:tc>
          <w:tcPr>
            <w:tcW w:w="1437" w:type="dxa"/>
            <w:vMerge w:val="restart"/>
            <w:vAlign w:val="center"/>
          </w:tcPr>
          <w:p w14:paraId="5D1AC811">
            <w:pPr>
              <w:bidi w:val="0"/>
              <w:ind w:left="218" w:leftChars="0" w:hanging="218" w:hangingChars="91"/>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3.2采购中</w:t>
            </w:r>
          </w:p>
          <w:p w14:paraId="45491211">
            <w:pPr>
              <w:pStyle w:val="6"/>
              <w:spacing w:before="75" w:line="219" w:lineRule="auto"/>
              <w:ind w:left="218" w:leftChars="0" w:hanging="218" w:hangingChars="91"/>
              <w:jc w:val="center"/>
              <w:rPr>
                <w:rFonts w:hint="eastAsia" w:ascii="仿宋_GB2312" w:hAnsi="仿宋_GB2312" w:eastAsia="仿宋_GB2312" w:cs="仿宋_GB2312"/>
                <w:spacing w:val="0"/>
                <w:sz w:val="24"/>
                <w:szCs w:val="24"/>
              </w:rPr>
            </w:pPr>
            <w:r>
              <w:rPr>
                <w:rFonts w:hint="eastAsia" w:ascii="仿宋_GB2312" w:hAnsi="仿宋_GB2312" w:eastAsia="仿宋_GB2312" w:cs="仿宋_GB2312"/>
                <w:sz w:val="24"/>
                <w:szCs w:val="24"/>
                <w:lang w:val="en-US" w:eastAsia="zh-CN"/>
              </w:rPr>
              <w:t>代理工作情况</w:t>
            </w:r>
          </w:p>
        </w:tc>
        <w:tc>
          <w:tcPr>
            <w:tcW w:w="863" w:type="dxa"/>
            <w:vAlign w:val="center"/>
          </w:tcPr>
          <w:p w14:paraId="0BB9433B">
            <w:pPr>
              <w:pStyle w:val="6"/>
              <w:spacing w:before="75" w:line="183" w:lineRule="auto"/>
              <w:ind w:left="218" w:leftChars="0" w:hanging="218" w:hangingChars="91"/>
              <w:jc w:val="center"/>
              <w:rPr>
                <w:rFonts w:hint="default" w:ascii="仿宋_GB2312" w:hAnsi="仿宋_GB2312" w:eastAsia="仿宋_GB2312" w:cs="仿宋_GB2312"/>
                <w:spacing w:val="0"/>
                <w:sz w:val="24"/>
                <w:szCs w:val="24"/>
                <w:lang w:val="en-US" w:eastAsia="zh-CN"/>
              </w:rPr>
            </w:pPr>
            <w:r>
              <w:rPr>
                <w:rFonts w:hint="eastAsia" w:ascii="仿宋_GB2312" w:hAnsi="仿宋_GB2312" w:eastAsia="仿宋_GB2312" w:cs="仿宋_GB2312"/>
                <w:spacing w:val="0"/>
                <w:sz w:val="24"/>
                <w:szCs w:val="24"/>
                <w:lang w:val="en-US" w:eastAsia="zh-CN"/>
              </w:rPr>
              <w:t>3</w:t>
            </w:r>
          </w:p>
        </w:tc>
        <w:tc>
          <w:tcPr>
            <w:tcW w:w="8161" w:type="dxa"/>
            <w:shd w:val="clear" w:color="auto" w:fill="auto"/>
            <w:vAlign w:val="center"/>
          </w:tcPr>
          <w:p w14:paraId="590B30B6">
            <w:pPr>
              <w:bidi w:val="0"/>
              <w:ind w:left="191" w:leftChars="0" w:hanging="191" w:hangingChars="91"/>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项目执行：采购方式选择 </w:t>
            </w:r>
          </w:p>
          <w:p w14:paraId="154586EA">
            <w:pPr>
              <w:bidi w:val="0"/>
              <w:ind w:left="191" w:leftChars="0" w:hanging="191" w:hangingChars="91"/>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1.选择法定的采购方式。</w:t>
            </w:r>
          </w:p>
          <w:p w14:paraId="0BD45781">
            <w:pPr>
              <w:bidi w:val="0"/>
              <w:ind w:left="191" w:leftChars="0" w:hanging="191" w:hangingChars="91"/>
              <w:jc w:val="both"/>
              <w:rPr>
                <w:rFonts w:hint="eastAsia" w:ascii="仿宋_GB2312" w:hAnsi="仿宋_GB2312" w:eastAsia="仿宋_GB2312" w:cs="仿宋_GB2312"/>
                <w:spacing w:val="0"/>
                <w:kern w:val="2"/>
                <w:sz w:val="21"/>
                <w:szCs w:val="21"/>
                <w:lang w:val="en-US" w:eastAsia="zh-CN" w:bidi="ar-SA"/>
              </w:rPr>
            </w:pPr>
            <w:r>
              <w:rPr>
                <w:rFonts w:hint="eastAsia" w:ascii="仿宋_GB2312" w:hAnsi="仿宋_GB2312" w:eastAsia="仿宋_GB2312" w:cs="仿宋_GB2312"/>
                <w:sz w:val="21"/>
                <w:szCs w:val="21"/>
              </w:rPr>
              <w:t>2.采购方式与采购需求匹配。</w:t>
            </w:r>
          </w:p>
        </w:tc>
        <w:tc>
          <w:tcPr>
            <w:tcW w:w="751" w:type="dxa"/>
            <w:shd w:val="clear" w:color="auto" w:fill="auto"/>
            <w:vAlign w:val="center"/>
          </w:tcPr>
          <w:p w14:paraId="7CB7A609">
            <w:pPr>
              <w:pStyle w:val="6"/>
              <w:spacing w:before="74" w:line="220" w:lineRule="auto"/>
              <w:ind w:left="218" w:leftChars="0" w:hanging="218" w:hangingChars="91"/>
              <w:jc w:val="center"/>
              <w:rPr>
                <w:rFonts w:hint="default"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3分</w:t>
            </w:r>
          </w:p>
        </w:tc>
        <w:tc>
          <w:tcPr>
            <w:tcW w:w="1232" w:type="dxa"/>
            <w:vAlign w:val="top"/>
          </w:tcPr>
          <w:p w14:paraId="314BF4D9">
            <w:pPr>
              <w:ind w:left="191" w:leftChars="0" w:hanging="191" w:hangingChars="91"/>
              <w:rPr>
                <w:rFonts w:hint="eastAsia" w:ascii="仿宋_GB2312" w:hAnsi="仿宋_GB2312" w:eastAsia="仿宋_GB2312" w:cs="仿宋_GB2312"/>
                <w:spacing w:val="0"/>
                <w:sz w:val="21"/>
              </w:rPr>
            </w:pPr>
          </w:p>
        </w:tc>
      </w:tr>
      <w:tr w14:paraId="7D642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9" w:hRule="atLeast"/>
          <w:jc w:val="center"/>
        </w:trPr>
        <w:tc>
          <w:tcPr>
            <w:tcW w:w="1721" w:type="dxa"/>
            <w:vMerge w:val="continue"/>
            <w:vAlign w:val="top"/>
          </w:tcPr>
          <w:p w14:paraId="1DEC42E7">
            <w:pPr>
              <w:ind w:left="191" w:leftChars="0" w:hanging="191" w:hangingChars="91"/>
              <w:rPr>
                <w:rFonts w:hint="eastAsia" w:ascii="仿宋_GB2312" w:hAnsi="仿宋_GB2312" w:eastAsia="仿宋_GB2312" w:cs="仿宋_GB2312"/>
                <w:spacing w:val="0"/>
                <w:sz w:val="21"/>
              </w:rPr>
            </w:pPr>
          </w:p>
        </w:tc>
        <w:tc>
          <w:tcPr>
            <w:tcW w:w="1437" w:type="dxa"/>
            <w:vMerge w:val="continue"/>
            <w:vAlign w:val="top"/>
          </w:tcPr>
          <w:p w14:paraId="4B3BAB77">
            <w:pPr>
              <w:ind w:left="191" w:leftChars="0" w:hanging="191" w:hangingChars="91"/>
              <w:rPr>
                <w:rFonts w:hint="eastAsia" w:ascii="仿宋_GB2312" w:hAnsi="仿宋_GB2312" w:eastAsia="仿宋_GB2312" w:cs="仿宋_GB2312"/>
                <w:spacing w:val="0"/>
                <w:sz w:val="21"/>
              </w:rPr>
            </w:pPr>
          </w:p>
        </w:tc>
        <w:tc>
          <w:tcPr>
            <w:tcW w:w="863" w:type="dxa"/>
            <w:vAlign w:val="center"/>
          </w:tcPr>
          <w:p w14:paraId="05FDB6CB">
            <w:pPr>
              <w:pStyle w:val="6"/>
              <w:spacing w:before="75" w:line="183" w:lineRule="auto"/>
              <w:ind w:left="218" w:leftChars="0" w:hanging="218" w:hangingChars="91"/>
              <w:jc w:val="center"/>
              <w:rPr>
                <w:rFonts w:hint="default" w:ascii="仿宋_GB2312" w:hAnsi="仿宋_GB2312" w:eastAsia="仿宋_GB2312" w:cs="仿宋_GB2312"/>
                <w:spacing w:val="0"/>
                <w:sz w:val="24"/>
                <w:szCs w:val="24"/>
                <w:lang w:val="en-US" w:eastAsia="zh-CN"/>
              </w:rPr>
            </w:pPr>
            <w:r>
              <w:rPr>
                <w:rFonts w:hint="eastAsia" w:ascii="仿宋_GB2312" w:hAnsi="仿宋_GB2312" w:eastAsia="仿宋_GB2312" w:cs="仿宋_GB2312"/>
                <w:spacing w:val="0"/>
                <w:sz w:val="24"/>
                <w:szCs w:val="24"/>
                <w:lang w:val="en-US" w:eastAsia="zh-CN"/>
              </w:rPr>
              <w:t>5</w:t>
            </w:r>
          </w:p>
        </w:tc>
        <w:tc>
          <w:tcPr>
            <w:tcW w:w="8161" w:type="dxa"/>
            <w:shd w:val="clear" w:color="auto" w:fill="auto"/>
            <w:vAlign w:val="center"/>
          </w:tcPr>
          <w:p w14:paraId="3226D1F3">
            <w:pPr>
              <w:pStyle w:val="6"/>
              <w:spacing w:before="3" w:line="192" w:lineRule="auto"/>
              <w:ind w:left="191" w:leftChars="0" w:right="15" w:hanging="191" w:hangingChars="91"/>
              <w:jc w:val="both"/>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项目执行：采购文件编制</w:t>
            </w:r>
          </w:p>
          <w:p w14:paraId="040BC2C2">
            <w:pPr>
              <w:pStyle w:val="6"/>
              <w:numPr>
                <w:ilvl w:val="0"/>
                <w:numId w:val="0"/>
              </w:numPr>
              <w:spacing w:before="3" w:line="192" w:lineRule="auto"/>
              <w:ind w:left="191" w:leftChars="0" w:right="15" w:rightChars="0" w:hanging="191" w:hangingChars="91"/>
              <w:jc w:val="both"/>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kern w:val="2"/>
                <w:sz w:val="21"/>
                <w:szCs w:val="21"/>
                <w:lang w:val="en-US" w:eastAsia="en-US" w:bidi="ar-SA"/>
              </w:rPr>
              <w:t>1.</w:t>
            </w:r>
            <w:r>
              <w:rPr>
                <w:rFonts w:hint="eastAsia" w:ascii="仿宋_GB2312" w:hAnsi="仿宋_GB2312" w:eastAsia="仿宋_GB2312" w:cs="仿宋_GB2312"/>
                <w:spacing w:val="0"/>
                <w:sz w:val="21"/>
                <w:szCs w:val="21"/>
              </w:rPr>
              <w:t xml:space="preserve">根据采购项目的特点和采购需求编制采购文件。 </w:t>
            </w:r>
          </w:p>
          <w:p w14:paraId="07BA9A89">
            <w:pPr>
              <w:pStyle w:val="6"/>
              <w:numPr>
                <w:ilvl w:val="0"/>
                <w:numId w:val="0"/>
              </w:numPr>
              <w:spacing w:before="3" w:line="192" w:lineRule="auto"/>
              <w:ind w:left="191" w:leftChars="0" w:right="15" w:rightChars="0" w:hanging="191" w:hangingChars="91"/>
              <w:jc w:val="both"/>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2.采购文件内容完整，合法合规。</w:t>
            </w:r>
          </w:p>
          <w:p w14:paraId="3D67257E">
            <w:pPr>
              <w:pStyle w:val="6"/>
              <w:spacing w:before="3" w:line="192" w:lineRule="auto"/>
              <w:ind w:left="191" w:leftChars="0" w:right="15" w:hanging="191" w:hangingChars="91"/>
              <w:jc w:val="both"/>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3.对于不允许偏离的实质性要求和条件已在采购文件中规定并以醒目的方式标明。</w:t>
            </w:r>
          </w:p>
          <w:p w14:paraId="7BBD7F4F">
            <w:pPr>
              <w:pStyle w:val="6"/>
              <w:spacing w:before="3" w:line="192" w:lineRule="auto"/>
              <w:ind w:left="191" w:leftChars="0" w:right="15" w:hanging="191" w:hangingChars="91"/>
              <w:jc w:val="both"/>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4.采用综合评分法的</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价格分采用低价优先法计算，未将供应商资格条件列为评审因素。</w:t>
            </w:r>
          </w:p>
          <w:p w14:paraId="186F52CF">
            <w:pPr>
              <w:pStyle w:val="6"/>
              <w:spacing w:before="3" w:line="192" w:lineRule="auto"/>
              <w:ind w:left="191" w:leftChars="0" w:right="15" w:hanging="191" w:hangingChars="91"/>
              <w:jc w:val="both"/>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5.采用综合评分法的，评审标准中的分值设置与评审因素的量化指标相对应。</w:t>
            </w:r>
          </w:p>
          <w:p w14:paraId="38FF5C8F">
            <w:pPr>
              <w:pStyle w:val="6"/>
              <w:spacing w:before="3" w:line="192" w:lineRule="auto"/>
              <w:ind w:left="191" w:leftChars="0" w:right="15" w:hanging="191" w:hangingChars="91"/>
              <w:jc w:val="both"/>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 xml:space="preserve">6.资格条件或评审因素中未对供应商实行差别待遇或者歧视待遇。 </w:t>
            </w:r>
          </w:p>
          <w:p w14:paraId="4373B3E1">
            <w:pPr>
              <w:pStyle w:val="6"/>
              <w:spacing w:before="3" w:line="192" w:lineRule="auto"/>
              <w:ind w:left="191" w:leftChars="0" w:right="15" w:hanging="191" w:hangingChars="91"/>
              <w:jc w:val="both"/>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7.合同条款设置符合采购需求。</w:t>
            </w:r>
          </w:p>
          <w:p w14:paraId="37805D4D">
            <w:pPr>
              <w:pStyle w:val="6"/>
              <w:spacing w:before="3" w:line="192" w:lineRule="auto"/>
              <w:ind w:left="191" w:leftChars="0" w:right="15" w:rightChars="0" w:hanging="191" w:hangingChars="91"/>
              <w:jc w:val="both"/>
              <w:rPr>
                <w:rFonts w:hint="eastAsia" w:ascii="仿宋_GB2312" w:hAnsi="仿宋_GB2312" w:eastAsia="仿宋_GB2312" w:cs="仿宋_GB2312"/>
                <w:spacing w:val="0"/>
                <w:kern w:val="2"/>
                <w:sz w:val="21"/>
                <w:szCs w:val="21"/>
                <w:lang w:val="en-US" w:eastAsia="en-US" w:bidi="ar-SA"/>
              </w:rPr>
            </w:pPr>
            <w:r>
              <w:rPr>
                <w:rFonts w:hint="eastAsia" w:ascii="仿宋_GB2312" w:hAnsi="仿宋_GB2312" w:eastAsia="仿宋_GB2312" w:cs="仿宋_GB2312"/>
                <w:spacing w:val="0"/>
                <w:sz w:val="21"/>
                <w:szCs w:val="21"/>
              </w:rPr>
              <w:t>8.对已发出的招标文件进行必要的澄清或者修改，未改变采购标的和资格条件。</w:t>
            </w:r>
          </w:p>
        </w:tc>
        <w:tc>
          <w:tcPr>
            <w:tcW w:w="751" w:type="dxa"/>
            <w:shd w:val="clear" w:color="auto" w:fill="auto"/>
            <w:vAlign w:val="center"/>
          </w:tcPr>
          <w:p w14:paraId="76292923">
            <w:pPr>
              <w:pStyle w:val="6"/>
              <w:spacing w:before="74" w:line="220" w:lineRule="auto"/>
              <w:ind w:left="218" w:leftChars="0" w:hanging="218" w:hangingChars="91"/>
              <w:jc w:val="center"/>
              <w:rPr>
                <w:rFonts w:hint="default"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5分</w:t>
            </w:r>
          </w:p>
        </w:tc>
        <w:tc>
          <w:tcPr>
            <w:tcW w:w="1232" w:type="dxa"/>
            <w:vAlign w:val="top"/>
          </w:tcPr>
          <w:p w14:paraId="6AEA615F">
            <w:pPr>
              <w:ind w:left="191" w:leftChars="0" w:hanging="191" w:hangingChars="91"/>
              <w:rPr>
                <w:rFonts w:hint="eastAsia" w:ascii="仿宋_GB2312" w:hAnsi="仿宋_GB2312" w:eastAsia="仿宋_GB2312" w:cs="仿宋_GB2312"/>
                <w:spacing w:val="0"/>
                <w:sz w:val="21"/>
              </w:rPr>
            </w:pPr>
          </w:p>
        </w:tc>
      </w:tr>
      <w:tr w14:paraId="580DA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6" w:hRule="atLeast"/>
          <w:jc w:val="center"/>
        </w:trPr>
        <w:tc>
          <w:tcPr>
            <w:tcW w:w="1721" w:type="dxa"/>
            <w:vMerge w:val="continue"/>
            <w:tcBorders>
              <w:bottom w:val="single" w:color="000000" w:sz="4" w:space="0"/>
            </w:tcBorders>
            <w:vAlign w:val="top"/>
          </w:tcPr>
          <w:p w14:paraId="527526D8">
            <w:pPr>
              <w:ind w:left="191" w:leftChars="0" w:hanging="191" w:hangingChars="91"/>
              <w:rPr>
                <w:rFonts w:hint="eastAsia" w:ascii="仿宋_GB2312" w:hAnsi="仿宋_GB2312" w:eastAsia="仿宋_GB2312" w:cs="仿宋_GB2312"/>
                <w:spacing w:val="0"/>
                <w:sz w:val="21"/>
              </w:rPr>
            </w:pPr>
          </w:p>
        </w:tc>
        <w:tc>
          <w:tcPr>
            <w:tcW w:w="1437" w:type="dxa"/>
            <w:vMerge w:val="continue"/>
            <w:tcBorders>
              <w:bottom w:val="single" w:color="000000" w:sz="4" w:space="0"/>
            </w:tcBorders>
            <w:vAlign w:val="top"/>
          </w:tcPr>
          <w:p w14:paraId="07098034">
            <w:pPr>
              <w:ind w:left="191" w:leftChars="0" w:hanging="191" w:hangingChars="91"/>
              <w:rPr>
                <w:rFonts w:hint="eastAsia" w:ascii="仿宋_GB2312" w:hAnsi="仿宋_GB2312" w:eastAsia="仿宋_GB2312" w:cs="仿宋_GB2312"/>
                <w:spacing w:val="0"/>
                <w:sz w:val="21"/>
              </w:rPr>
            </w:pPr>
          </w:p>
        </w:tc>
        <w:tc>
          <w:tcPr>
            <w:tcW w:w="863" w:type="dxa"/>
            <w:tcBorders>
              <w:bottom w:val="single" w:color="000000" w:sz="4" w:space="0"/>
            </w:tcBorders>
            <w:vAlign w:val="center"/>
          </w:tcPr>
          <w:p w14:paraId="034D64EA">
            <w:pPr>
              <w:pStyle w:val="6"/>
              <w:spacing w:before="75" w:line="182" w:lineRule="auto"/>
              <w:ind w:left="218" w:leftChars="0" w:hanging="218" w:hangingChars="91"/>
              <w:jc w:val="center"/>
              <w:rPr>
                <w:rFonts w:hint="default" w:ascii="仿宋_GB2312" w:hAnsi="仿宋_GB2312" w:eastAsia="仿宋_GB2312" w:cs="仿宋_GB2312"/>
                <w:spacing w:val="0"/>
                <w:sz w:val="24"/>
                <w:szCs w:val="24"/>
                <w:lang w:val="en-US" w:eastAsia="zh-CN"/>
              </w:rPr>
            </w:pPr>
            <w:r>
              <w:rPr>
                <w:rFonts w:hint="eastAsia" w:ascii="仿宋_GB2312" w:hAnsi="仿宋_GB2312" w:eastAsia="仿宋_GB2312" w:cs="仿宋_GB2312"/>
                <w:spacing w:val="0"/>
                <w:sz w:val="24"/>
                <w:szCs w:val="24"/>
                <w:lang w:val="en-US" w:eastAsia="zh-CN"/>
              </w:rPr>
              <w:t>2</w:t>
            </w:r>
          </w:p>
        </w:tc>
        <w:tc>
          <w:tcPr>
            <w:tcW w:w="8161" w:type="dxa"/>
            <w:tcBorders>
              <w:bottom w:val="single" w:color="000000" w:sz="4" w:space="0"/>
            </w:tcBorders>
            <w:shd w:val="clear" w:color="auto" w:fill="auto"/>
            <w:vAlign w:val="center"/>
          </w:tcPr>
          <w:p w14:paraId="61F44118">
            <w:pPr>
              <w:pStyle w:val="6"/>
              <w:spacing w:before="3" w:line="192" w:lineRule="auto"/>
              <w:ind w:left="191" w:leftChars="0" w:right="15" w:hanging="191" w:hangingChars="91"/>
              <w:jc w:val="both"/>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项目执行：评审准备</w:t>
            </w:r>
          </w:p>
          <w:p w14:paraId="56EAF332">
            <w:pPr>
              <w:pStyle w:val="6"/>
              <w:numPr>
                <w:ilvl w:val="0"/>
                <w:numId w:val="0"/>
              </w:numPr>
              <w:spacing w:before="3" w:line="192" w:lineRule="auto"/>
              <w:ind w:left="191" w:leftChars="0" w:right="15" w:rightChars="0" w:hanging="191" w:hangingChars="91"/>
              <w:jc w:val="both"/>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kern w:val="2"/>
                <w:sz w:val="21"/>
                <w:szCs w:val="21"/>
                <w:lang w:val="en-US" w:eastAsia="en-US" w:bidi="ar-SA"/>
              </w:rPr>
              <w:t>1.</w:t>
            </w:r>
            <w:r>
              <w:rPr>
                <w:rFonts w:hint="eastAsia" w:ascii="仿宋_GB2312" w:hAnsi="仿宋_GB2312" w:eastAsia="仿宋_GB2312" w:cs="仿宋_GB2312"/>
                <w:spacing w:val="0"/>
                <w:sz w:val="21"/>
                <w:szCs w:val="21"/>
              </w:rPr>
              <w:t>根据法定方式或程序确定参与采购活动的供应商。</w:t>
            </w:r>
          </w:p>
          <w:p w14:paraId="2F7CD9E1">
            <w:pPr>
              <w:pStyle w:val="6"/>
              <w:numPr>
                <w:ilvl w:val="0"/>
                <w:numId w:val="0"/>
              </w:numPr>
              <w:spacing w:before="3" w:line="192" w:lineRule="auto"/>
              <w:ind w:left="191" w:leftChars="0" w:right="15" w:rightChars="0" w:hanging="191" w:hangingChars="91"/>
              <w:jc w:val="both"/>
              <w:rPr>
                <w:rFonts w:hint="eastAsia" w:ascii="仿宋_GB2312" w:hAnsi="仿宋_GB2312" w:eastAsia="仿宋_GB2312" w:cs="仿宋_GB2312"/>
                <w:spacing w:val="0"/>
                <w:kern w:val="2"/>
                <w:sz w:val="21"/>
                <w:szCs w:val="21"/>
                <w:lang w:val="en-US" w:eastAsia="en-US" w:bidi="ar-SA"/>
              </w:rPr>
            </w:pPr>
            <w:r>
              <w:rPr>
                <w:rFonts w:hint="eastAsia" w:ascii="仿宋_GB2312" w:hAnsi="仿宋_GB2312" w:eastAsia="仿宋_GB2312" w:cs="仿宋_GB2312"/>
                <w:spacing w:val="0"/>
                <w:sz w:val="21"/>
                <w:szCs w:val="21"/>
              </w:rPr>
              <w:t>2.</w:t>
            </w:r>
            <w:r>
              <w:rPr>
                <w:rFonts w:hint="eastAsia" w:ascii="仿宋_GB2312" w:hAnsi="仿宋_GB2312" w:eastAsia="仿宋_GB2312" w:cs="仿宋_GB2312"/>
                <w:spacing w:val="0"/>
                <w:sz w:val="21"/>
                <w:szCs w:val="21"/>
                <w:lang w:val="en-US" w:eastAsia="zh-CN"/>
              </w:rPr>
              <w:t>合规</w:t>
            </w:r>
            <w:r>
              <w:rPr>
                <w:rFonts w:hint="eastAsia" w:ascii="仿宋_GB2312" w:hAnsi="仿宋_GB2312" w:eastAsia="仿宋_GB2312" w:cs="仿宋_GB2312"/>
                <w:spacing w:val="0"/>
                <w:sz w:val="21"/>
                <w:szCs w:val="21"/>
              </w:rPr>
              <w:t>合法抽取专家。</w:t>
            </w:r>
          </w:p>
        </w:tc>
        <w:tc>
          <w:tcPr>
            <w:tcW w:w="751" w:type="dxa"/>
            <w:tcBorders>
              <w:bottom w:val="single" w:color="000000" w:sz="4" w:space="0"/>
            </w:tcBorders>
            <w:shd w:val="clear" w:color="auto" w:fill="auto"/>
            <w:vAlign w:val="center"/>
          </w:tcPr>
          <w:p w14:paraId="5323AE73">
            <w:pPr>
              <w:pStyle w:val="6"/>
              <w:spacing w:before="75" w:line="220" w:lineRule="auto"/>
              <w:ind w:left="218" w:leftChars="0" w:hanging="218" w:hangingChars="91"/>
              <w:jc w:val="center"/>
              <w:rPr>
                <w:rFonts w:hint="default"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2分</w:t>
            </w:r>
          </w:p>
        </w:tc>
        <w:tc>
          <w:tcPr>
            <w:tcW w:w="1232" w:type="dxa"/>
            <w:tcBorders>
              <w:bottom w:val="single" w:color="000000" w:sz="4" w:space="0"/>
            </w:tcBorders>
            <w:vAlign w:val="top"/>
          </w:tcPr>
          <w:p w14:paraId="3F3958E3">
            <w:pPr>
              <w:ind w:left="191" w:leftChars="0" w:hanging="191" w:hangingChars="91"/>
              <w:rPr>
                <w:rFonts w:hint="eastAsia" w:ascii="仿宋_GB2312" w:hAnsi="仿宋_GB2312" w:eastAsia="仿宋_GB2312" w:cs="仿宋_GB2312"/>
                <w:spacing w:val="0"/>
                <w:sz w:val="21"/>
              </w:rPr>
            </w:pPr>
          </w:p>
        </w:tc>
      </w:tr>
      <w:tr w14:paraId="11CD7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1721" w:type="dxa"/>
            <w:tcBorders>
              <w:top w:val="single" w:color="000000" w:sz="4" w:space="0"/>
              <w:bottom w:val="single" w:color="000000" w:sz="4" w:space="0"/>
            </w:tcBorders>
            <w:shd w:val="clear" w:color="auto" w:fill="auto"/>
            <w:vAlign w:val="center"/>
          </w:tcPr>
          <w:p w14:paraId="72B191FC">
            <w:pPr>
              <w:keepNext w:val="0"/>
              <w:keepLines w:val="0"/>
              <w:pageBreakBefore w:val="0"/>
              <w:widowControl w:val="0"/>
              <w:kinsoku/>
              <w:wordWrap/>
              <w:overflowPunct/>
              <w:topLinePunct w:val="0"/>
              <w:autoSpaceDE/>
              <w:autoSpaceDN/>
              <w:bidi w:val="0"/>
              <w:adjustRightInd/>
              <w:snapToGrid/>
              <w:spacing w:line="300" w:lineRule="exact"/>
              <w:ind w:left="219" w:leftChars="0" w:hanging="219" w:hangingChars="91"/>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sz w:val="24"/>
                <w:szCs w:val="24"/>
              </w:rPr>
              <w:t>一级指标</w:t>
            </w:r>
          </w:p>
        </w:tc>
        <w:tc>
          <w:tcPr>
            <w:tcW w:w="1437" w:type="dxa"/>
            <w:tcBorders>
              <w:top w:val="single" w:color="000000" w:sz="4" w:space="0"/>
              <w:bottom w:val="single" w:color="000000" w:sz="4" w:space="0"/>
            </w:tcBorders>
            <w:shd w:val="clear" w:color="auto" w:fill="auto"/>
            <w:vAlign w:val="center"/>
          </w:tcPr>
          <w:p w14:paraId="200F3ECE">
            <w:pPr>
              <w:keepNext w:val="0"/>
              <w:keepLines w:val="0"/>
              <w:pageBreakBefore w:val="0"/>
              <w:widowControl w:val="0"/>
              <w:kinsoku/>
              <w:wordWrap/>
              <w:overflowPunct/>
              <w:topLinePunct w:val="0"/>
              <w:autoSpaceDE/>
              <w:autoSpaceDN/>
              <w:bidi w:val="0"/>
              <w:adjustRightInd/>
              <w:snapToGrid/>
              <w:spacing w:line="300" w:lineRule="exact"/>
              <w:ind w:left="219" w:leftChars="0" w:hanging="219" w:hangingChars="91"/>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sz w:val="24"/>
                <w:szCs w:val="24"/>
              </w:rPr>
              <w:t>二级指标</w:t>
            </w:r>
          </w:p>
        </w:tc>
        <w:tc>
          <w:tcPr>
            <w:tcW w:w="863" w:type="dxa"/>
            <w:tcBorders>
              <w:top w:val="single" w:color="000000" w:sz="4" w:space="0"/>
              <w:bottom w:val="single" w:color="000000" w:sz="4" w:space="0"/>
            </w:tcBorders>
            <w:shd w:val="clear" w:color="auto" w:fill="auto"/>
            <w:vAlign w:val="center"/>
          </w:tcPr>
          <w:p w14:paraId="61A5B8C6">
            <w:pPr>
              <w:keepNext w:val="0"/>
              <w:keepLines w:val="0"/>
              <w:pageBreakBefore w:val="0"/>
              <w:widowControl w:val="0"/>
              <w:kinsoku/>
              <w:wordWrap/>
              <w:overflowPunct/>
              <w:topLinePunct w:val="0"/>
              <w:autoSpaceDE/>
              <w:autoSpaceDN/>
              <w:bidi w:val="0"/>
              <w:adjustRightInd/>
              <w:snapToGrid/>
              <w:spacing w:line="300" w:lineRule="exact"/>
              <w:ind w:left="219" w:leftChars="0" w:hanging="219" w:hangingChars="91"/>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sz w:val="24"/>
                <w:szCs w:val="24"/>
              </w:rPr>
              <w:t>权重</w:t>
            </w:r>
          </w:p>
        </w:tc>
        <w:tc>
          <w:tcPr>
            <w:tcW w:w="8161" w:type="dxa"/>
            <w:tcBorders>
              <w:top w:val="single" w:color="000000" w:sz="4" w:space="0"/>
              <w:bottom w:val="single" w:color="000000" w:sz="4" w:space="0"/>
            </w:tcBorders>
            <w:shd w:val="clear" w:color="auto" w:fill="auto"/>
            <w:vAlign w:val="center"/>
          </w:tcPr>
          <w:p w14:paraId="4E44DFCD">
            <w:pPr>
              <w:keepNext w:val="0"/>
              <w:keepLines w:val="0"/>
              <w:pageBreakBefore w:val="0"/>
              <w:widowControl w:val="0"/>
              <w:kinsoku/>
              <w:wordWrap/>
              <w:overflowPunct/>
              <w:topLinePunct w:val="0"/>
              <w:autoSpaceDE/>
              <w:autoSpaceDN/>
              <w:bidi w:val="0"/>
              <w:adjustRightInd/>
              <w:snapToGrid/>
              <w:spacing w:line="300" w:lineRule="exact"/>
              <w:ind w:left="219" w:leftChars="0" w:hanging="219" w:hangingChars="91"/>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sz w:val="24"/>
                <w:szCs w:val="24"/>
              </w:rPr>
              <w:t>评价内容</w:t>
            </w:r>
          </w:p>
        </w:tc>
        <w:tc>
          <w:tcPr>
            <w:tcW w:w="751" w:type="dxa"/>
            <w:tcBorders>
              <w:top w:val="single" w:color="000000" w:sz="4" w:space="0"/>
              <w:bottom w:val="single" w:color="000000" w:sz="4" w:space="0"/>
            </w:tcBorders>
            <w:shd w:val="clear" w:color="auto" w:fill="auto"/>
            <w:vAlign w:val="center"/>
          </w:tcPr>
          <w:p w14:paraId="2CB40FB9">
            <w:pPr>
              <w:keepNext w:val="0"/>
              <w:keepLines w:val="0"/>
              <w:pageBreakBefore w:val="0"/>
              <w:widowControl w:val="0"/>
              <w:kinsoku/>
              <w:wordWrap/>
              <w:overflowPunct/>
              <w:topLinePunct w:val="0"/>
              <w:autoSpaceDE/>
              <w:autoSpaceDN/>
              <w:bidi w:val="0"/>
              <w:adjustRightInd/>
              <w:snapToGrid/>
              <w:spacing w:line="300" w:lineRule="exact"/>
              <w:ind w:left="219" w:leftChars="0" w:hanging="219" w:hangingChars="91"/>
              <w:jc w:val="center"/>
              <w:textAlignment w:val="auto"/>
              <w:rPr>
                <w:rFonts w:hint="eastAsia" w:ascii="仿宋_GB2312" w:hAnsi="仿宋_GB2312" w:eastAsia="仿宋_GB2312" w:cs="仿宋_GB2312"/>
                <w:b/>
                <w:bCs/>
                <w:kern w:val="2"/>
                <w:sz w:val="24"/>
                <w:szCs w:val="24"/>
                <w:lang w:val="en-US" w:eastAsia="en-US" w:bidi="ar-SA"/>
              </w:rPr>
            </w:pPr>
            <w:r>
              <w:rPr>
                <w:rFonts w:hint="eastAsia" w:ascii="仿宋_GB2312" w:hAnsi="仿宋_GB2312" w:eastAsia="仿宋_GB2312" w:cs="仿宋_GB2312"/>
                <w:b/>
                <w:bCs/>
                <w:sz w:val="24"/>
                <w:szCs w:val="24"/>
              </w:rPr>
              <w:t>分值</w:t>
            </w:r>
          </w:p>
        </w:tc>
        <w:tc>
          <w:tcPr>
            <w:tcW w:w="1232" w:type="dxa"/>
            <w:tcBorders>
              <w:top w:val="single" w:color="000000" w:sz="4" w:space="0"/>
              <w:bottom w:val="single" w:color="000000" w:sz="4" w:space="0"/>
            </w:tcBorders>
            <w:shd w:val="clear" w:color="auto" w:fill="auto"/>
            <w:vAlign w:val="center"/>
          </w:tcPr>
          <w:p w14:paraId="1657945D">
            <w:pPr>
              <w:keepNext w:val="0"/>
              <w:keepLines w:val="0"/>
              <w:pageBreakBefore w:val="0"/>
              <w:widowControl w:val="0"/>
              <w:kinsoku/>
              <w:wordWrap/>
              <w:overflowPunct/>
              <w:topLinePunct w:val="0"/>
              <w:autoSpaceDE/>
              <w:autoSpaceDN/>
              <w:bidi w:val="0"/>
              <w:adjustRightInd/>
              <w:snapToGrid/>
              <w:spacing w:line="300" w:lineRule="exact"/>
              <w:ind w:left="219" w:leftChars="0" w:hanging="219" w:hangingChars="91"/>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财政部门</w:t>
            </w:r>
          </w:p>
          <w:p w14:paraId="6DC4C9B6">
            <w:pPr>
              <w:keepNext w:val="0"/>
              <w:keepLines w:val="0"/>
              <w:pageBreakBefore w:val="0"/>
              <w:widowControl w:val="0"/>
              <w:kinsoku/>
              <w:wordWrap/>
              <w:overflowPunct/>
              <w:topLinePunct w:val="0"/>
              <w:autoSpaceDE/>
              <w:autoSpaceDN/>
              <w:bidi w:val="0"/>
              <w:adjustRightInd/>
              <w:snapToGrid/>
              <w:spacing w:line="300" w:lineRule="exact"/>
              <w:ind w:left="219" w:leftChars="0" w:hanging="219" w:hangingChars="91"/>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sz w:val="24"/>
                <w:szCs w:val="24"/>
              </w:rPr>
              <w:t>检查评分</w:t>
            </w:r>
          </w:p>
        </w:tc>
      </w:tr>
      <w:tr w14:paraId="405BC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2" w:hRule="atLeast"/>
          <w:jc w:val="center"/>
        </w:trPr>
        <w:tc>
          <w:tcPr>
            <w:tcW w:w="1721" w:type="dxa"/>
            <w:vMerge w:val="restart"/>
            <w:tcBorders>
              <w:top w:val="single" w:color="000000" w:sz="4" w:space="0"/>
              <w:bottom w:val="single" w:color="000000" w:sz="4" w:space="0"/>
            </w:tcBorders>
            <w:shd w:val="clear" w:color="auto" w:fill="auto"/>
            <w:vAlign w:val="center"/>
          </w:tcPr>
          <w:p w14:paraId="2105C7EE">
            <w:pPr>
              <w:numPr>
                <w:ilvl w:val="0"/>
                <w:numId w:val="0"/>
              </w:num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3.</w:t>
            </w:r>
            <w:r>
              <w:rPr>
                <w:rFonts w:hint="eastAsia" w:ascii="仿宋_GB2312" w:hAnsi="仿宋_GB2312" w:eastAsia="仿宋_GB2312" w:cs="仿宋_GB2312"/>
                <w:sz w:val="24"/>
                <w:szCs w:val="24"/>
                <w:lang w:val="en-US" w:eastAsia="zh-CN"/>
              </w:rPr>
              <w:t>代理</w:t>
            </w:r>
          </w:p>
          <w:p w14:paraId="4B170048">
            <w:pPr>
              <w:bidi w:val="0"/>
              <w:ind w:left="218" w:leftChars="0" w:hanging="218" w:hangingChars="91"/>
              <w:jc w:val="center"/>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lang w:val="en-US" w:eastAsia="zh-CN"/>
              </w:rPr>
              <w:t>执业情况（.55%）</w:t>
            </w:r>
          </w:p>
        </w:tc>
        <w:tc>
          <w:tcPr>
            <w:tcW w:w="1437" w:type="dxa"/>
            <w:tcBorders>
              <w:top w:val="single" w:color="000000" w:sz="4" w:space="0"/>
              <w:bottom w:val="single" w:color="000000" w:sz="4" w:space="0"/>
            </w:tcBorders>
            <w:shd w:val="clear" w:color="auto" w:fill="auto"/>
            <w:vAlign w:val="center"/>
          </w:tcPr>
          <w:p w14:paraId="699F5455">
            <w:pPr>
              <w:bidi w:val="0"/>
              <w:ind w:left="218" w:leftChars="0" w:hanging="218" w:hangingChars="91"/>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3.2采购中</w:t>
            </w:r>
          </w:p>
          <w:p w14:paraId="42F8EF35">
            <w:pPr>
              <w:bidi w:val="0"/>
              <w:ind w:left="218" w:leftChars="0" w:hanging="218" w:hangingChars="91"/>
              <w:jc w:val="center"/>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lang w:val="en-US" w:eastAsia="zh-CN"/>
              </w:rPr>
              <w:t>代理工作情况</w:t>
            </w:r>
          </w:p>
        </w:tc>
        <w:tc>
          <w:tcPr>
            <w:tcW w:w="863" w:type="dxa"/>
            <w:tcBorders>
              <w:top w:val="single" w:color="000000" w:sz="4" w:space="0"/>
              <w:bottom w:val="single" w:color="000000" w:sz="4" w:space="0"/>
            </w:tcBorders>
            <w:shd w:val="clear" w:color="auto" w:fill="auto"/>
            <w:vAlign w:val="center"/>
          </w:tcPr>
          <w:p w14:paraId="4DDCC81A">
            <w:pPr>
              <w:bidi w:val="0"/>
              <w:ind w:left="218" w:leftChars="0" w:hanging="218" w:hangingChars="91"/>
              <w:jc w:val="cente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w:t>
            </w:r>
          </w:p>
        </w:tc>
        <w:tc>
          <w:tcPr>
            <w:tcW w:w="8161" w:type="dxa"/>
            <w:tcBorders>
              <w:top w:val="single" w:color="000000" w:sz="4" w:space="0"/>
              <w:bottom w:val="single" w:color="000000" w:sz="4" w:space="0"/>
            </w:tcBorders>
            <w:shd w:val="clear" w:color="auto" w:fill="auto"/>
            <w:vAlign w:val="center"/>
          </w:tcPr>
          <w:p w14:paraId="7321DB70">
            <w:pPr>
              <w:bidi w:val="0"/>
              <w:ind w:left="191" w:leftChars="0" w:hanging="191" w:hangingChars="91"/>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项目执行：组织评审</w:t>
            </w:r>
          </w:p>
          <w:p w14:paraId="63F009E0">
            <w:pPr>
              <w:bidi w:val="0"/>
              <w:ind w:left="191" w:leftChars="0" w:hanging="191" w:hangingChars="91"/>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1.开标室配备录音录像等监控设备设施，评审活动全程录音录像，录音录像清晰可辩。</w:t>
            </w:r>
          </w:p>
          <w:p w14:paraId="3F61AC05">
            <w:pPr>
              <w:bidi w:val="0"/>
              <w:ind w:left="191" w:leftChars="0" w:hanging="191" w:hangingChars="91"/>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2.招标项目中，开标在招标文件确定的提交投标文件截止时间的同一时间公开进行，开标地点是招标文件中预先确定的地点。</w:t>
            </w:r>
          </w:p>
          <w:p w14:paraId="467321C0">
            <w:pPr>
              <w:bidi w:val="0"/>
              <w:ind w:left="191" w:leftChars="0" w:hanging="191" w:hangingChars="91"/>
              <w:jc w:val="both"/>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rPr>
              <w:t>3.核对评审专家身份和采购人代表授权函。</w:t>
            </w:r>
          </w:p>
          <w:p w14:paraId="1212FEB4">
            <w:pPr>
              <w:bidi w:val="0"/>
              <w:ind w:left="191" w:leftChars="0" w:hanging="191" w:hangingChars="91"/>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4.实际评审专家与抽取结果一致。</w:t>
            </w:r>
          </w:p>
          <w:p w14:paraId="5B0957EA">
            <w:pPr>
              <w:bidi w:val="0"/>
              <w:ind w:left="191" w:leftChars="0" w:hanging="191" w:hangingChars="91"/>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5.在评审活动开始前宣布评审工作纪律，告知回避要求，介绍政府采购相关政策法规。</w:t>
            </w:r>
          </w:p>
          <w:p w14:paraId="6BA5281F">
            <w:pPr>
              <w:bidi w:val="0"/>
              <w:ind w:left="191" w:leftChars="0" w:hanging="191" w:hangingChars="91"/>
              <w:jc w:val="both"/>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rPr>
              <w:t>6.发现评审专家与参加采购活动的供应商有利害关系的，要求其回避。</w:t>
            </w:r>
          </w:p>
          <w:p w14:paraId="2E4D6553">
            <w:pPr>
              <w:bidi w:val="0"/>
              <w:ind w:left="191" w:leftChars="0" w:hanging="191" w:hangingChars="91"/>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7.组织评审委员会推选采购人代表以外的评审专家担任组长。</w:t>
            </w:r>
          </w:p>
          <w:p w14:paraId="2084D9C0">
            <w:pPr>
              <w:bidi w:val="0"/>
              <w:ind w:left="191" w:leftChars="0" w:hanging="191" w:hangingChars="91"/>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8.采取必要的通讯管理措施，评审活动不受外界干扰。</w:t>
            </w:r>
          </w:p>
          <w:p w14:paraId="04BEA8D6">
            <w:pPr>
              <w:bidi w:val="0"/>
              <w:ind w:left="191" w:leftChars="0" w:hanging="191" w:hangingChars="91"/>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9.监督评审委员会进行评审时，及时制止和纠正倾向性言论等违法违规行为。</w:t>
            </w:r>
          </w:p>
          <w:p w14:paraId="4911FE09">
            <w:pPr>
              <w:bidi w:val="0"/>
              <w:ind w:left="191" w:leftChars="0" w:hanging="191" w:hangingChars="91"/>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10.禁止与评审工作无关的人员进入评审现场，评审活动在保密的情况下进行。</w:t>
            </w:r>
          </w:p>
          <w:p w14:paraId="43EA3865">
            <w:pPr>
              <w:bidi w:val="0"/>
              <w:ind w:left="191" w:leftChars="0" w:hanging="191" w:hangingChars="91"/>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11.采用综合评分法，评标委员会各成员详细打分表和评分汇总表完整准确，对评审数据校对、核对，对畸高、畸低的重大差异评分提示评审委员会复核或书面说明理由。</w:t>
            </w:r>
          </w:p>
          <w:p w14:paraId="23EAC43D">
            <w:pPr>
              <w:bidi w:val="0"/>
              <w:ind w:left="191" w:leftChars="0" w:hanging="191" w:hangingChars="91"/>
              <w:jc w:val="both"/>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12.对非法干预评审工作等违法违规行为，及时向财政部门报告。</w:t>
            </w:r>
          </w:p>
        </w:tc>
        <w:tc>
          <w:tcPr>
            <w:tcW w:w="751" w:type="dxa"/>
            <w:tcBorders>
              <w:top w:val="single" w:color="000000" w:sz="4" w:space="0"/>
              <w:bottom w:val="single" w:color="000000" w:sz="4" w:space="0"/>
            </w:tcBorders>
            <w:shd w:val="clear" w:color="auto" w:fill="auto"/>
            <w:vAlign w:val="center"/>
          </w:tcPr>
          <w:p w14:paraId="7AD6D96C">
            <w:pPr>
              <w:bidi w:val="0"/>
              <w:ind w:left="218" w:leftChars="0" w:hanging="218" w:hangingChars="91"/>
              <w:jc w:val="center"/>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5分</w:t>
            </w:r>
          </w:p>
        </w:tc>
        <w:tc>
          <w:tcPr>
            <w:tcW w:w="1232" w:type="dxa"/>
            <w:tcBorders>
              <w:top w:val="single" w:color="000000" w:sz="4" w:space="0"/>
              <w:bottom w:val="single" w:color="000000" w:sz="4" w:space="0"/>
            </w:tcBorders>
            <w:shd w:val="clear" w:color="auto" w:fill="auto"/>
            <w:vAlign w:val="center"/>
          </w:tcPr>
          <w:p w14:paraId="658D8178">
            <w:pPr>
              <w:bidi w:val="0"/>
              <w:ind w:left="219" w:leftChars="0" w:hanging="219" w:hangingChars="91"/>
              <w:jc w:val="center"/>
              <w:rPr>
                <w:rFonts w:hint="eastAsia" w:ascii="仿宋_GB2312" w:hAnsi="仿宋_GB2312" w:eastAsia="仿宋_GB2312" w:cs="仿宋_GB2312"/>
                <w:b/>
                <w:bCs/>
                <w:sz w:val="24"/>
                <w:szCs w:val="24"/>
              </w:rPr>
            </w:pPr>
          </w:p>
        </w:tc>
      </w:tr>
      <w:tr w14:paraId="65FB5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2" w:hRule="atLeast"/>
          <w:jc w:val="center"/>
        </w:trPr>
        <w:tc>
          <w:tcPr>
            <w:tcW w:w="1721" w:type="dxa"/>
            <w:vMerge w:val="continue"/>
            <w:tcBorders>
              <w:top w:val="single" w:color="000000" w:sz="4" w:space="0"/>
              <w:bottom w:val="single" w:color="000000" w:sz="4" w:space="0"/>
            </w:tcBorders>
            <w:vAlign w:val="top"/>
          </w:tcPr>
          <w:p w14:paraId="4BAC0A22">
            <w:pPr>
              <w:ind w:left="218" w:leftChars="0" w:hanging="218" w:hangingChars="91"/>
              <w:rPr>
                <w:rFonts w:hint="eastAsia" w:ascii="仿宋_GB2312" w:hAnsi="仿宋_GB2312" w:eastAsia="仿宋_GB2312" w:cs="仿宋_GB2312"/>
                <w:spacing w:val="0"/>
                <w:sz w:val="24"/>
                <w:szCs w:val="24"/>
              </w:rPr>
            </w:pPr>
          </w:p>
        </w:tc>
        <w:tc>
          <w:tcPr>
            <w:tcW w:w="1437" w:type="dxa"/>
            <w:vMerge w:val="restart"/>
            <w:tcBorders>
              <w:top w:val="single" w:color="000000" w:sz="4" w:space="0"/>
              <w:bottom w:val="single" w:color="000000" w:sz="4" w:space="0"/>
            </w:tcBorders>
            <w:vAlign w:val="center"/>
          </w:tcPr>
          <w:p w14:paraId="7E3DB3A4">
            <w:pPr>
              <w:ind w:left="218" w:leftChars="0" w:hanging="218" w:hangingChars="91"/>
              <w:jc w:val="center"/>
              <w:rPr>
                <w:rFonts w:hint="default" w:ascii="仿宋_GB2312" w:hAnsi="仿宋_GB2312" w:eastAsia="仿宋_GB2312" w:cs="仿宋_GB2312"/>
                <w:spacing w:val="0"/>
                <w:sz w:val="24"/>
                <w:szCs w:val="24"/>
                <w:lang w:val="en-US" w:eastAsia="zh-CN"/>
              </w:rPr>
            </w:pPr>
            <w:r>
              <w:rPr>
                <w:rFonts w:hint="eastAsia" w:ascii="仿宋_GB2312" w:hAnsi="仿宋_GB2312" w:eastAsia="仿宋_GB2312" w:cs="仿宋_GB2312"/>
                <w:kern w:val="2"/>
                <w:sz w:val="24"/>
                <w:szCs w:val="24"/>
                <w:lang w:val="en-US" w:eastAsia="zh-CN" w:bidi="ar-SA"/>
              </w:rPr>
              <w:t>3.3采购后代理工作情况</w:t>
            </w:r>
          </w:p>
        </w:tc>
        <w:tc>
          <w:tcPr>
            <w:tcW w:w="863" w:type="dxa"/>
            <w:tcBorders>
              <w:top w:val="single" w:color="000000" w:sz="4" w:space="0"/>
              <w:bottom w:val="single" w:color="000000" w:sz="4" w:space="0"/>
            </w:tcBorders>
            <w:vAlign w:val="center"/>
          </w:tcPr>
          <w:p w14:paraId="18101B75">
            <w:pPr>
              <w:pStyle w:val="6"/>
              <w:spacing w:before="75" w:line="182" w:lineRule="auto"/>
              <w:ind w:left="218" w:leftChars="0" w:hanging="218" w:hangingChars="91"/>
              <w:jc w:val="center"/>
              <w:rPr>
                <w:rFonts w:hint="default" w:ascii="仿宋_GB2312" w:hAnsi="仿宋_GB2312" w:eastAsia="仿宋_GB2312" w:cs="仿宋_GB2312"/>
                <w:spacing w:val="0"/>
                <w:sz w:val="24"/>
                <w:szCs w:val="24"/>
                <w:lang w:val="en-US" w:eastAsia="zh-CN"/>
              </w:rPr>
            </w:pPr>
            <w:r>
              <w:rPr>
                <w:rFonts w:hint="eastAsia" w:ascii="仿宋_GB2312" w:hAnsi="仿宋_GB2312" w:eastAsia="仿宋_GB2312" w:cs="仿宋_GB2312"/>
                <w:spacing w:val="0"/>
                <w:sz w:val="24"/>
                <w:szCs w:val="24"/>
                <w:lang w:val="en-US" w:eastAsia="zh-CN"/>
              </w:rPr>
              <w:t>2</w:t>
            </w:r>
          </w:p>
        </w:tc>
        <w:tc>
          <w:tcPr>
            <w:tcW w:w="8161" w:type="dxa"/>
            <w:tcBorders>
              <w:top w:val="single" w:color="000000" w:sz="4" w:space="0"/>
              <w:bottom w:val="single" w:color="000000" w:sz="4" w:space="0"/>
            </w:tcBorders>
            <w:shd w:val="clear" w:color="auto" w:fill="auto"/>
            <w:vAlign w:val="center"/>
          </w:tcPr>
          <w:p w14:paraId="1D63F1F9">
            <w:pPr>
              <w:pStyle w:val="6"/>
              <w:spacing w:before="3" w:line="192" w:lineRule="auto"/>
              <w:ind w:left="191" w:leftChars="0" w:right="15" w:hanging="191" w:hangingChars="91"/>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项目执行：</w:t>
            </w:r>
            <w:r>
              <w:rPr>
                <w:rFonts w:hint="eastAsia" w:ascii="仿宋_GB2312" w:hAnsi="仿宋_GB2312" w:eastAsia="仿宋_GB2312" w:cs="仿宋_GB2312"/>
                <w:sz w:val="21"/>
                <w:szCs w:val="21"/>
              </w:rPr>
              <w:t>合同管理</w:t>
            </w:r>
          </w:p>
          <w:p w14:paraId="7F714410">
            <w:pPr>
              <w:pStyle w:val="6"/>
              <w:spacing w:before="3" w:line="192" w:lineRule="auto"/>
              <w:ind w:left="191" w:leftChars="0" w:right="15" w:hanging="191" w:hangingChars="91"/>
              <w:jc w:val="both"/>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1.协助采购人对政府采购项目的履约风险进行预测和分析，并在合同中设置相应条款</w:t>
            </w:r>
          </w:p>
          <w:p w14:paraId="6F85BD17">
            <w:pPr>
              <w:pStyle w:val="6"/>
              <w:spacing w:before="3" w:line="192" w:lineRule="auto"/>
              <w:ind w:left="191" w:leftChars="0" w:right="15" w:rightChars="0" w:hanging="191" w:hangingChars="91"/>
              <w:jc w:val="both"/>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2.及时</w:t>
            </w:r>
            <w:r>
              <w:rPr>
                <w:rFonts w:hint="eastAsia" w:ascii="仿宋_GB2312" w:hAnsi="仿宋_GB2312" w:eastAsia="仿宋_GB2312" w:cs="仿宋_GB2312"/>
                <w:sz w:val="21"/>
                <w:szCs w:val="21"/>
              </w:rPr>
              <w:t>督促、协助采购人与供应商签订合同。</w:t>
            </w:r>
          </w:p>
        </w:tc>
        <w:tc>
          <w:tcPr>
            <w:tcW w:w="751" w:type="dxa"/>
            <w:tcBorders>
              <w:top w:val="single" w:color="000000" w:sz="4" w:space="0"/>
              <w:bottom w:val="single" w:color="000000" w:sz="4" w:space="0"/>
            </w:tcBorders>
            <w:shd w:val="clear" w:color="auto" w:fill="auto"/>
            <w:vAlign w:val="center"/>
          </w:tcPr>
          <w:p w14:paraId="7CECF6A3">
            <w:pPr>
              <w:pStyle w:val="6"/>
              <w:spacing w:before="75" w:line="220" w:lineRule="auto"/>
              <w:ind w:left="218" w:leftChars="0" w:hanging="218" w:hangingChars="91"/>
              <w:jc w:val="center"/>
              <w:rPr>
                <w:rFonts w:hint="eastAsia" w:ascii="仿宋_GB2312" w:hAnsi="仿宋_GB2312" w:eastAsia="仿宋_GB2312" w:cs="仿宋_GB2312"/>
                <w:spacing w:val="0"/>
                <w:kern w:val="2"/>
                <w:sz w:val="24"/>
                <w:szCs w:val="24"/>
                <w:lang w:val="en-US" w:eastAsia="en-US" w:bidi="ar-SA"/>
              </w:rPr>
            </w:pPr>
            <w:r>
              <w:rPr>
                <w:rFonts w:hint="eastAsia" w:ascii="仿宋_GB2312" w:hAnsi="仿宋_GB2312" w:eastAsia="仿宋_GB2312" w:cs="仿宋_GB2312"/>
                <w:spacing w:val="0"/>
                <w:sz w:val="24"/>
                <w:szCs w:val="24"/>
                <w:lang w:val="en-US" w:eastAsia="zh-CN"/>
              </w:rPr>
              <w:t>2分</w:t>
            </w:r>
          </w:p>
        </w:tc>
        <w:tc>
          <w:tcPr>
            <w:tcW w:w="1232" w:type="dxa"/>
            <w:tcBorders>
              <w:top w:val="single" w:color="000000" w:sz="4" w:space="0"/>
              <w:bottom w:val="single" w:color="000000" w:sz="4" w:space="0"/>
            </w:tcBorders>
            <w:vAlign w:val="top"/>
          </w:tcPr>
          <w:p w14:paraId="239FCC63">
            <w:pPr>
              <w:ind w:left="191" w:leftChars="0" w:hanging="191" w:hangingChars="91"/>
              <w:rPr>
                <w:rFonts w:hint="eastAsia" w:ascii="仿宋_GB2312" w:hAnsi="仿宋_GB2312" w:eastAsia="仿宋_GB2312" w:cs="仿宋_GB2312"/>
                <w:spacing w:val="0"/>
                <w:sz w:val="21"/>
              </w:rPr>
            </w:pPr>
          </w:p>
        </w:tc>
      </w:tr>
      <w:tr w14:paraId="6CCB6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8" w:hRule="atLeast"/>
          <w:jc w:val="center"/>
        </w:trPr>
        <w:tc>
          <w:tcPr>
            <w:tcW w:w="1721" w:type="dxa"/>
            <w:vMerge w:val="continue"/>
            <w:tcBorders>
              <w:top w:val="single" w:color="000000" w:sz="4" w:space="0"/>
              <w:bottom w:val="single" w:color="000000" w:sz="4" w:space="0"/>
            </w:tcBorders>
            <w:vAlign w:val="top"/>
          </w:tcPr>
          <w:p w14:paraId="502FF7B6">
            <w:pPr>
              <w:ind w:left="218" w:leftChars="0" w:hanging="218" w:hangingChars="91"/>
              <w:rPr>
                <w:rFonts w:hint="eastAsia" w:ascii="仿宋_GB2312" w:hAnsi="仿宋_GB2312" w:eastAsia="仿宋_GB2312" w:cs="仿宋_GB2312"/>
                <w:spacing w:val="0"/>
                <w:sz w:val="24"/>
                <w:szCs w:val="24"/>
              </w:rPr>
            </w:pPr>
          </w:p>
        </w:tc>
        <w:tc>
          <w:tcPr>
            <w:tcW w:w="1437" w:type="dxa"/>
            <w:vMerge w:val="continue"/>
            <w:tcBorders>
              <w:top w:val="single" w:color="000000" w:sz="4" w:space="0"/>
              <w:bottom w:val="single" w:color="000000" w:sz="4" w:space="0"/>
            </w:tcBorders>
            <w:vAlign w:val="top"/>
          </w:tcPr>
          <w:p w14:paraId="4F032C47">
            <w:pPr>
              <w:ind w:left="218" w:leftChars="0" w:hanging="218" w:hangingChars="91"/>
              <w:rPr>
                <w:rFonts w:hint="eastAsia" w:ascii="仿宋_GB2312" w:hAnsi="仿宋_GB2312" w:eastAsia="仿宋_GB2312" w:cs="仿宋_GB2312"/>
                <w:spacing w:val="0"/>
                <w:sz w:val="24"/>
                <w:szCs w:val="24"/>
              </w:rPr>
            </w:pPr>
          </w:p>
        </w:tc>
        <w:tc>
          <w:tcPr>
            <w:tcW w:w="863" w:type="dxa"/>
            <w:tcBorders>
              <w:top w:val="single" w:color="000000" w:sz="4" w:space="0"/>
              <w:bottom w:val="single" w:color="000000" w:sz="4" w:space="0"/>
            </w:tcBorders>
            <w:vAlign w:val="center"/>
          </w:tcPr>
          <w:p w14:paraId="09D1B375">
            <w:pPr>
              <w:pStyle w:val="6"/>
              <w:spacing w:before="75" w:line="183" w:lineRule="auto"/>
              <w:ind w:left="218" w:leftChars="0" w:hanging="218" w:hangingChars="91"/>
              <w:jc w:val="center"/>
              <w:rPr>
                <w:rFonts w:hint="default" w:ascii="仿宋_GB2312" w:hAnsi="仿宋_GB2312" w:eastAsia="仿宋_GB2312" w:cs="仿宋_GB2312"/>
                <w:spacing w:val="0"/>
                <w:sz w:val="24"/>
                <w:szCs w:val="24"/>
                <w:lang w:val="en-US" w:eastAsia="zh-CN"/>
              </w:rPr>
            </w:pPr>
            <w:r>
              <w:rPr>
                <w:rFonts w:hint="eastAsia" w:ascii="仿宋_GB2312" w:hAnsi="仿宋_GB2312" w:eastAsia="仿宋_GB2312" w:cs="仿宋_GB2312"/>
                <w:spacing w:val="0"/>
                <w:sz w:val="24"/>
                <w:szCs w:val="24"/>
                <w:lang w:val="en-US" w:eastAsia="zh-CN"/>
              </w:rPr>
              <w:t>3</w:t>
            </w:r>
          </w:p>
        </w:tc>
        <w:tc>
          <w:tcPr>
            <w:tcW w:w="8161" w:type="dxa"/>
            <w:tcBorders>
              <w:top w:val="single" w:color="000000" w:sz="4" w:space="0"/>
              <w:bottom w:val="single" w:color="000000" w:sz="4" w:space="0"/>
            </w:tcBorders>
            <w:shd w:val="clear" w:color="auto" w:fill="auto"/>
            <w:vAlign w:val="center"/>
          </w:tcPr>
          <w:p w14:paraId="03AB4AB8">
            <w:pPr>
              <w:bidi w:val="0"/>
              <w:ind w:left="191" w:leftChars="0" w:hanging="191" w:hangingChars="91"/>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项目执行：绩效评价</w:t>
            </w:r>
          </w:p>
          <w:p w14:paraId="1D7A1BB8">
            <w:pPr>
              <w:bidi w:val="0"/>
              <w:ind w:left="191" w:leftChars="0" w:hanging="191" w:hangingChars="91"/>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1.协助采购人开展采购项目前期评估、项目实施监控、政策功能效果、档案管理等政府采购项目全过程绩效评价</w:t>
            </w:r>
          </w:p>
          <w:p w14:paraId="0E0F8ECB">
            <w:pPr>
              <w:bidi w:val="0"/>
              <w:ind w:left="191" w:leftChars="0" w:hanging="191" w:hangingChars="91"/>
              <w:jc w:val="both"/>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2.协助采购人出具项目绩效自评报告。</w:t>
            </w:r>
          </w:p>
        </w:tc>
        <w:tc>
          <w:tcPr>
            <w:tcW w:w="751" w:type="dxa"/>
            <w:tcBorders>
              <w:top w:val="single" w:color="000000" w:sz="4" w:space="0"/>
              <w:bottom w:val="single" w:color="000000" w:sz="4" w:space="0"/>
            </w:tcBorders>
            <w:shd w:val="clear" w:color="auto" w:fill="auto"/>
            <w:vAlign w:val="center"/>
          </w:tcPr>
          <w:p w14:paraId="67FAB2DD">
            <w:pPr>
              <w:bidi w:val="0"/>
              <w:ind w:left="218" w:leftChars="0" w:hanging="218" w:hangingChars="91"/>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3分</w:t>
            </w:r>
          </w:p>
        </w:tc>
        <w:tc>
          <w:tcPr>
            <w:tcW w:w="1232" w:type="dxa"/>
            <w:tcBorders>
              <w:top w:val="single" w:color="000000" w:sz="4" w:space="0"/>
              <w:bottom w:val="single" w:color="000000" w:sz="4" w:space="0"/>
            </w:tcBorders>
            <w:vAlign w:val="top"/>
          </w:tcPr>
          <w:p w14:paraId="47386185">
            <w:pPr>
              <w:ind w:left="191" w:leftChars="0" w:hanging="191" w:hangingChars="91"/>
              <w:rPr>
                <w:rFonts w:hint="eastAsia" w:ascii="仿宋_GB2312" w:hAnsi="仿宋_GB2312" w:eastAsia="仿宋_GB2312" w:cs="仿宋_GB2312"/>
                <w:spacing w:val="0"/>
                <w:sz w:val="21"/>
              </w:rPr>
            </w:pPr>
          </w:p>
        </w:tc>
      </w:tr>
      <w:tr w14:paraId="68056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jc w:val="center"/>
        </w:trPr>
        <w:tc>
          <w:tcPr>
            <w:tcW w:w="1721" w:type="dxa"/>
            <w:tcBorders>
              <w:top w:val="single" w:color="000000" w:sz="4" w:space="0"/>
              <w:bottom w:val="single" w:color="000000" w:sz="4" w:space="0"/>
            </w:tcBorders>
            <w:shd w:val="clear" w:color="auto" w:fill="auto"/>
            <w:vAlign w:val="center"/>
          </w:tcPr>
          <w:p w14:paraId="1F175958">
            <w:pPr>
              <w:keepNext w:val="0"/>
              <w:keepLines w:val="0"/>
              <w:pageBreakBefore w:val="0"/>
              <w:widowControl w:val="0"/>
              <w:kinsoku/>
              <w:wordWrap/>
              <w:overflowPunct/>
              <w:topLinePunct w:val="0"/>
              <w:autoSpaceDE/>
              <w:autoSpaceDN/>
              <w:bidi w:val="0"/>
              <w:adjustRightInd/>
              <w:snapToGrid/>
              <w:spacing w:line="300" w:lineRule="exact"/>
              <w:ind w:left="219" w:leftChars="0" w:hanging="219" w:hangingChars="91"/>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sz w:val="24"/>
                <w:szCs w:val="24"/>
              </w:rPr>
              <w:t>一级指标</w:t>
            </w:r>
          </w:p>
        </w:tc>
        <w:tc>
          <w:tcPr>
            <w:tcW w:w="1437" w:type="dxa"/>
            <w:tcBorders>
              <w:top w:val="single" w:color="000000" w:sz="4" w:space="0"/>
              <w:bottom w:val="single" w:color="000000" w:sz="4" w:space="0"/>
            </w:tcBorders>
            <w:shd w:val="clear" w:color="auto" w:fill="auto"/>
            <w:vAlign w:val="center"/>
          </w:tcPr>
          <w:p w14:paraId="5643CBAE">
            <w:pPr>
              <w:keepNext w:val="0"/>
              <w:keepLines w:val="0"/>
              <w:pageBreakBefore w:val="0"/>
              <w:widowControl w:val="0"/>
              <w:kinsoku/>
              <w:wordWrap/>
              <w:overflowPunct/>
              <w:topLinePunct w:val="0"/>
              <w:autoSpaceDE/>
              <w:autoSpaceDN/>
              <w:bidi w:val="0"/>
              <w:adjustRightInd/>
              <w:snapToGrid/>
              <w:spacing w:line="300" w:lineRule="exact"/>
              <w:ind w:left="219" w:leftChars="0" w:hanging="219" w:hangingChars="91"/>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sz w:val="24"/>
                <w:szCs w:val="24"/>
              </w:rPr>
              <w:t>二级指标</w:t>
            </w:r>
          </w:p>
        </w:tc>
        <w:tc>
          <w:tcPr>
            <w:tcW w:w="863" w:type="dxa"/>
            <w:tcBorders>
              <w:top w:val="single" w:color="000000" w:sz="4" w:space="0"/>
              <w:bottom w:val="single" w:color="000000" w:sz="4" w:space="0"/>
            </w:tcBorders>
            <w:shd w:val="clear" w:color="auto" w:fill="auto"/>
            <w:vAlign w:val="center"/>
          </w:tcPr>
          <w:p w14:paraId="33F31FD6">
            <w:pPr>
              <w:keepNext w:val="0"/>
              <w:keepLines w:val="0"/>
              <w:pageBreakBefore w:val="0"/>
              <w:widowControl w:val="0"/>
              <w:kinsoku/>
              <w:wordWrap/>
              <w:overflowPunct/>
              <w:topLinePunct w:val="0"/>
              <w:autoSpaceDE/>
              <w:autoSpaceDN/>
              <w:bidi w:val="0"/>
              <w:adjustRightInd/>
              <w:snapToGrid/>
              <w:spacing w:line="300" w:lineRule="exact"/>
              <w:ind w:left="219" w:leftChars="0" w:hanging="219" w:hangingChars="91"/>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sz w:val="24"/>
                <w:szCs w:val="24"/>
              </w:rPr>
              <w:t>权重</w:t>
            </w:r>
          </w:p>
        </w:tc>
        <w:tc>
          <w:tcPr>
            <w:tcW w:w="8161" w:type="dxa"/>
            <w:tcBorders>
              <w:top w:val="single" w:color="000000" w:sz="4" w:space="0"/>
              <w:bottom w:val="single" w:color="000000" w:sz="4" w:space="0"/>
            </w:tcBorders>
            <w:shd w:val="clear" w:color="auto" w:fill="auto"/>
            <w:vAlign w:val="center"/>
          </w:tcPr>
          <w:p w14:paraId="4DD0B339">
            <w:pPr>
              <w:keepNext w:val="0"/>
              <w:keepLines w:val="0"/>
              <w:pageBreakBefore w:val="0"/>
              <w:widowControl w:val="0"/>
              <w:kinsoku/>
              <w:wordWrap/>
              <w:overflowPunct/>
              <w:topLinePunct w:val="0"/>
              <w:autoSpaceDE/>
              <w:autoSpaceDN/>
              <w:bidi w:val="0"/>
              <w:adjustRightInd/>
              <w:snapToGrid/>
              <w:spacing w:line="300" w:lineRule="exact"/>
              <w:ind w:left="219" w:leftChars="0" w:hanging="219" w:hangingChars="91"/>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sz w:val="24"/>
                <w:szCs w:val="24"/>
              </w:rPr>
              <w:t>评价内容</w:t>
            </w:r>
          </w:p>
        </w:tc>
        <w:tc>
          <w:tcPr>
            <w:tcW w:w="751" w:type="dxa"/>
            <w:tcBorders>
              <w:top w:val="single" w:color="000000" w:sz="4" w:space="0"/>
              <w:bottom w:val="single" w:color="000000" w:sz="4" w:space="0"/>
            </w:tcBorders>
            <w:shd w:val="clear" w:color="auto" w:fill="auto"/>
            <w:vAlign w:val="center"/>
          </w:tcPr>
          <w:p w14:paraId="109717E7">
            <w:pPr>
              <w:keepNext w:val="0"/>
              <w:keepLines w:val="0"/>
              <w:pageBreakBefore w:val="0"/>
              <w:widowControl w:val="0"/>
              <w:kinsoku/>
              <w:wordWrap/>
              <w:overflowPunct/>
              <w:topLinePunct w:val="0"/>
              <w:autoSpaceDE/>
              <w:autoSpaceDN/>
              <w:bidi w:val="0"/>
              <w:adjustRightInd/>
              <w:snapToGrid/>
              <w:spacing w:line="300" w:lineRule="exact"/>
              <w:ind w:left="219" w:leftChars="0" w:hanging="219" w:hangingChars="91"/>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sz w:val="24"/>
                <w:szCs w:val="24"/>
              </w:rPr>
              <w:t>分值</w:t>
            </w:r>
          </w:p>
        </w:tc>
        <w:tc>
          <w:tcPr>
            <w:tcW w:w="1232" w:type="dxa"/>
            <w:tcBorders>
              <w:top w:val="single" w:color="000000" w:sz="4" w:space="0"/>
              <w:bottom w:val="single" w:color="000000" w:sz="4" w:space="0"/>
            </w:tcBorders>
            <w:shd w:val="clear" w:color="auto" w:fill="auto"/>
            <w:vAlign w:val="center"/>
          </w:tcPr>
          <w:p w14:paraId="48AA26E7">
            <w:pPr>
              <w:keepNext w:val="0"/>
              <w:keepLines w:val="0"/>
              <w:pageBreakBefore w:val="0"/>
              <w:widowControl w:val="0"/>
              <w:kinsoku/>
              <w:wordWrap/>
              <w:overflowPunct/>
              <w:topLinePunct w:val="0"/>
              <w:autoSpaceDE/>
              <w:autoSpaceDN/>
              <w:bidi w:val="0"/>
              <w:adjustRightInd/>
              <w:snapToGrid/>
              <w:spacing w:line="300" w:lineRule="exact"/>
              <w:ind w:left="219" w:leftChars="0" w:hanging="219" w:hangingChars="91"/>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财政部门</w:t>
            </w:r>
          </w:p>
          <w:p w14:paraId="05601A25">
            <w:pPr>
              <w:keepNext w:val="0"/>
              <w:keepLines w:val="0"/>
              <w:pageBreakBefore w:val="0"/>
              <w:widowControl w:val="0"/>
              <w:kinsoku/>
              <w:wordWrap/>
              <w:overflowPunct/>
              <w:topLinePunct w:val="0"/>
              <w:autoSpaceDE/>
              <w:autoSpaceDN/>
              <w:bidi w:val="0"/>
              <w:adjustRightInd/>
              <w:snapToGrid/>
              <w:spacing w:line="300" w:lineRule="exact"/>
              <w:ind w:left="219" w:leftChars="0" w:hanging="219" w:hangingChars="91"/>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sz w:val="24"/>
                <w:szCs w:val="24"/>
              </w:rPr>
              <w:t>检查评分</w:t>
            </w:r>
          </w:p>
        </w:tc>
      </w:tr>
      <w:tr w14:paraId="442F7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2" w:hRule="atLeast"/>
          <w:jc w:val="center"/>
        </w:trPr>
        <w:tc>
          <w:tcPr>
            <w:tcW w:w="1721" w:type="dxa"/>
            <w:vMerge w:val="restart"/>
            <w:tcBorders>
              <w:top w:val="single" w:color="000000" w:sz="4" w:space="0"/>
            </w:tcBorders>
            <w:vAlign w:val="center"/>
          </w:tcPr>
          <w:p w14:paraId="602B11D4">
            <w:pPr>
              <w:numPr>
                <w:ilvl w:val="0"/>
                <w:numId w:val="0"/>
              </w:numPr>
              <w:bidi w:val="0"/>
              <w:jc w:val="center"/>
              <w:rPr>
                <w:rFonts w:hint="eastAsia" w:ascii="仿宋_GB2312" w:hAnsi="仿宋_GB2312" w:eastAsia="仿宋_GB2312" w:cs="仿宋_GB2312"/>
                <w:kern w:val="2"/>
                <w:sz w:val="24"/>
                <w:szCs w:val="32"/>
                <w:lang w:val="en-US" w:eastAsia="zh-CN" w:bidi="ar-SA"/>
              </w:rPr>
            </w:pPr>
            <w:r>
              <w:rPr>
                <w:rFonts w:hint="eastAsia" w:ascii="仿宋_GB2312" w:hAnsi="仿宋_GB2312" w:eastAsia="仿宋_GB2312" w:cs="仿宋_GB2312"/>
                <w:kern w:val="2"/>
                <w:sz w:val="24"/>
                <w:szCs w:val="24"/>
                <w:lang w:val="en-US" w:eastAsia="zh-CN" w:bidi="ar-SA"/>
              </w:rPr>
              <w:t>3.</w:t>
            </w:r>
            <w:r>
              <w:rPr>
                <w:rFonts w:hint="eastAsia" w:ascii="仿宋_GB2312" w:hAnsi="仿宋_GB2312" w:eastAsia="仿宋_GB2312" w:cs="仿宋_GB2312"/>
                <w:sz w:val="24"/>
                <w:szCs w:val="24"/>
                <w:lang w:val="en-US" w:eastAsia="zh-CN"/>
              </w:rPr>
              <w:t>代理执业情况（55%）</w:t>
            </w:r>
          </w:p>
        </w:tc>
        <w:tc>
          <w:tcPr>
            <w:tcW w:w="1437" w:type="dxa"/>
            <w:vMerge w:val="restart"/>
            <w:tcBorders>
              <w:top w:val="single" w:color="000000" w:sz="4" w:space="0"/>
            </w:tcBorders>
            <w:vAlign w:val="center"/>
          </w:tcPr>
          <w:p w14:paraId="3E30F623">
            <w:pPr>
              <w:bidi w:val="0"/>
              <w:ind w:left="218" w:leftChars="0" w:hanging="218" w:hangingChars="91"/>
              <w:jc w:val="center"/>
              <w:rPr>
                <w:rFonts w:hint="eastAsia" w:ascii="仿宋_GB2312" w:hAnsi="仿宋_GB2312" w:eastAsia="仿宋_GB2312" w:cs="仿宋_GB2312"/>
                <w:kern w:val="2"/>
                <w:sz w:val="24"/>
                <w:szCs w:val="32"/>
                <w:lang w:val="en-US" w:eastAsia="zh-CN" w:bidi="ar-SA"/>
              </w:rPr>
            </w:pPr>
            <w:r>
              <w:rPr>
                <w:rFonts w:hint="eastAsia" w:ascii="仿宋_GB2312" w:hAnsi="仿宋_GB2312" w:eastAsia="仿宋_GB2312" w:cs="仿宋_GB2312"/>
                <w:kern w:val="2"/>
                <w:sz w:val="24"/>
                <w:szCs w:val="24"/>
                <w:lang w:val="en-US" w:eastAsia="zh-CN" w:bidi="ar-SA"/>
              </w:rPr>
              <w:t>3.3采购后代理工作情况</w:t>
            </w:r>
          </w:p>
        </w:tc>
        <w:tc>
          <w:tcPr>
            <w:tcW w:w="863" w:type="dxa"/>
            <w:tcBorders>
              <w:top w:val="single" w:color="000000" w:sz="4" w:space="0"/>
              <w:bottom w:val="single" w:color="000000" w:sz="4" w:space="0"/>
            </w:tcBorders>
            <w:vAlign w:val="center"/>
          </w:tcPr>
          <w:p w14:paraId="01C314EF">
            <w:pPr>
              <w:pStyle w:val="6"/>
              <w:spacing w:before="75" w:line="183" w:lineRule="auto"/>
              <w:ind w:left="218" w:leftChars="0" w:hanging="218" w:hangingChars="91"/>
              <w:jc w:val="center"/>
              <w:rPr>
                <w:rFonts w:hint="default" w:ascii="仿宋_GB2312" w:hAnsi="仿宋_GB2312" w:eastAsia="仿宋_GB2312" w:cs="仿宋_GB2312"/>
                <w:spacing w:val="0"/>
                <w:sz w:val="24"/>
                <w:szCs w:val="24"/>
                <w:lang w:val="en-US" w:eastAsia="zh-CN"/>
              </w:rPr>
            </w:pPr>
            <w:r>
              <w:rPr>
                <w:rFonts w:hint="eastAsia" w:ascii="仿宋_GB2312" w:hAnsi="仿宋_GB2312" w:eastAsia="仿宋_GB2312" w:cs="仿宋_GB2312"/>
                <w:spacing w:val="0"/>
                <w:sz w:val="24"/>
                <w:szCs w:val="24"/>
                <w:lang w:val="en-US" w:eastAsia="zh-CN"/>
              </w:rPr>
              <w:t>16</w:t>
            </w:r>
          </w:p>
        </w:tc>
        <w:tc>
          <w:tcPr>
            <w:tcW w:w="8161" w:type="dxa"/>
            <w:tcBorders>
              <w:top w:val="single" w:color="000000" w:sz="4" w:space="0"/>
              <w:bottom w:val="single" w:color="000000" w:sz="4" w:space="0"/>
            </w:tcBorders>
            <w:shd w:val="clear" w:color="auto" w:fill="auto"/>
            <w:vAlign w:val="center"/>
          </w:tcPr>
          <w:p w14:paraId="024DF293">
            <w:pPr>
              <w:bidi w:val="0"/>
              <w:ind w:left="191" w:leftChars="0" w:hanging="191" w:hangingChars="91"/>
              <w:jc w:val="both"/>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rPr>
              <w:t>项目执行：信息</w:t>
            </w:r>
            <w:r>
              <w:rPr>
                <w:rFonts w:hint="eastAsia" w:ascii="仿宋_GB2312" w:hAnsi="仿宋_GB2312" w:eastAsia="仿宋_GB2312" w:cs="仿宋_GB2312"/>
                <w:sz w:val="21"/>
                <w:szCs w:val="24"/>
                <w:lang w:val="en-US" w:eastAsia="zh-CN"/>
              </w:rPr>
              <w:t>公开</w:t>
            </w:r>
          </w:p>
          <w:p w14:paraId="63BDE54B">
            <w:pPr>
              <w:bidi w:val="0"/>
              <w:ind w:left="191" w:leftChars="0" w:hanging="191" w:hangingChars="91"/>
              <w:jc w:val="both"/>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1.在财政部指定媒体发布信息。</w:t>
            </w:r>
          </w:p>
          <w:p w14:paraId="43CFC34B">
            <w:pPr>
              <w:bidi w:val="0"/>
              <w:ind w:left="191" w:leftChars="0" w:hanging="191" w:hangingChars="91"/>
              <w:jc w:val="both"/>
              <w:rPr>
                <w:rFonts w:hint="eastAsia" w:ascii="仿宋_GB2312" w:hAnsi="仿宋_GB2312" w:eastAsia="仿宋_GB2312" w:cs="仿宋_GB2312"/>
                <w:sz w:val="21"/>
                <w:szCs w:val="24"/>
                <w:lang w:eastAsia="zh-CN"/>
              </w:rPr>
            </w:pPr>
            <w:r>
              <w:rPr>
                <w:rFonts w:hint="eastAsia" w:ascii="仿宋_GB2312" w:hAnsi="仿宋_GB2312" w:eastAsia="仿宋_GB2312" w:cs="仿宋_GB2312"/>
                <w:sz w:val="21"/>
                <w:szCs w:val="24"/>
              </w:rPr>
              <w:t>2.发布时间、公告期限符合相关规定。</w:t>
            </w:r>
          </w:p>
          <w:p w14:paraId="7883D710">
            <w:pPr>
              <w:bidi w:val="0"/>
              <w:ind w:left="191" w:leftChars="0" w:hanging="191" w:hangingChars="91"/>
              <w:jc w:val="both"/>
              <w:rPr>
                <w:rFonts w:hint="eastAsia" w:ascii="仿宋_GB2312" w:hAnsi="仿宋_GB2312" w:eastAsia="仿宋_GB2312" w:cs="仿宋_GB2312"/>
                <w:sz w:val="21"/>
                <w:szCs w:val="24"/>
              </w:rPr>
            </w:pPr>
            <w:r>
              <w:rPr>
                <w:rFonts w:hint="eastAsia" w:ascii="仿宋_GB2312" w:hAnsi="仿宋_GB2312" w:eastAsia="仿宋_GB2312" w:cs="仿宋_GB2312"/>
                <w:sz w:val="21"/>
                <w:szCs w:val="24"/>
                <w:lang w:val="en-US" w:eastAsia="zh-CN"/>
              </w:rPr>
              <w:t>3</w:t>
            </w:r>
            <w:r>
              <w:rPr>
                <w:rFonts w:hint="eastAsia" w:ascii="仿宋_GB2312" w:hAnsi="仿宋_GB2312" w:eastAsia="仿宋_GB2312" w:cs="仿宋_GB2312"/>
                <w:sz w:val="21"/>
                <w:szCs w:val="24"/>
              </w:rPr>
              <w:t>.格式规范，信息完整、真实。</w:t>
            </w:r>
          </w:p>
          <w:p w14:paraId="42CB5196">
            <w:pPr>
              <w:bidi w:val="0"/>
              <w:ind w:left="191" w:leftChars="0" w:hanging="191" w:hangingChars="91"/>
              <w:jc w:val="both"/>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4.在该季度采购项目内，以下时效指标将采用前沿距离法计分：</w:t>
            </w:r>
          </w:p>
          <w:p w14:paraId="1C6E2FF8">
            <w:pPr>
              <w:bidi w:val="0"/>
              <w:ind w:left="191" w:leftChars="0" w:hanging="191" w:hangingChars="91"/>
              <w:jc w:val="both"/>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（1）发出中标公告之日期发出中标通知书的平均时间。</w:t>
            </w:r>
          </w:p>
          <w:p w14:paraId="2A47C851">
            <w:pPr>
              <w:bidi w:val="0"/>
              <w:ind w:left="191" w:leftChars="0" w:hanging="191" w:hangingChars="91"/>
              <w:jc w:val="both"/>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（2）发出中标通知书发出之日签订合同的平均时间</w:t>
            </w:r>
          </w:p>
          <w:p w14:paraId="47267DCF">
            <w:pPr>
              <w:bidi w:val="0"/>
              <w:ind w:left="191" w:leftChars="0" w:hanging="191" w:hangingChars="91"/>
              <w:jc w:val="both"/>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（3）合同签订之日起发布合同公告的平均时间。</w:t>
            </w:r>
          </w:p>
          <w:p w14:paraId="650D5FAF">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1"/>
                <w:szCs w:val="24"/>
                <w:lang w:val="en-US" w:eastAsia="zh-CN"/>
              </w:rPr>
              <w:t>具体计分规则如下：</w:t>
            </w:r>
          </w:p>
          <w:p w14:paraId="5E874B31">
            <w:pPr>
              <w:bidi w:val="0"/>
              <w:ind w:left="191" w:leftChars="0" w:hanging="191" w:hangingChars="91"/>
              <w:jc w:val="both"/>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（1）每项最高分5分，最低分0分，平均时长最短的得5分；</w:t>
            </w:r>
          </w:p>
          <w:p w14:paraId="6490B3E8">
            <w:pPr>
              <w:bidi w:val="0"/>
              <w:ind w:left="191" w:leftChars="0" w:hanging="191" w:hangingChars="91"/>
              <w:jc w:val="both"/>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（2）具体赋分名次如下：第1名得5分，第2-3名得4分，第4-5名得3分，第6-7名得2分，第8-9名得1分，10-13名得0分；</w:t>
            </w:r>
          </w:p>
          <w:p w14:paraId="4A326C28">
            <w:pPr>
              <w:bidi w:val="0"/>
              <w:ind w:left="191" w:leftChars="0" w:hanging="191" w:hangingChars="91"/>
              <w:jc w:val="both"/>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（3）信息公开时效超过法律法规规定时效不得分。</w:t>
            </w:r>
          </w:p>
        </w:tc>
        <w:tc>
          <w:tcPr>
            <w:tcW w:w="751" w:type="dxa"/>
            <w:tcBorders>
              <w:top w:val="single" w:color="000000" w:sz="4" w:space="0"/>
              <w:bottom w:val="single" w:color="000000" w:sz="4" w:space="0"/>
            </w:tcBorders>
            <w:shd w:val="clear" w:color="auto" w:fill="auto"/>
            <w:vAlign w:val="center"/>
          </w:tcPr>
          <w:p w14:paraId="5A8F0062">
            <w:pPr>
              <w:bidi w:val="0"/>
              <w:ind w:left="218" w:leftChars="0" w:hanging="218" w:hangingChars="91"/>
              <w:jc w:val="cente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16分</w:t>
            </w:r>
          </w:p>
        </w:tc>
        <w:tc>
          <w:tcPr>
            <w:tcW w:w="1232" w:type="dxa"/>
            <w:tcBorders>
              <w:top w:val="single" w:color="000000" w:sz="4" w:space="0"/>
              <w:bottom w:val="single" w:color="000000" w:sz="4" w:space="0"/>
            </w:tcBorders>
            <w:vAlign w:val="top"/>
          </w:tcPr>
          <w:p w14:paraId="1969E9DF">
            <w:pPr>
              <w:ind w:left="191" w:leftChars="0" w:hanging="191" w:hangingChars="91"/>
              <w:rPr>
                <w:rFonts w:hint="eastAsia" w:ascii="仿宋_GB2312" w:hAnsi="仿宋_GB2312" w:eastAsia="仿宋_GB2312" w:cs="仿宋_GB2312"/>
                <w:spacing w:val="0"/>
                <w:sz w:val="21"/>
              </w:rPr>
            </w:pPr>
          </w:p>
        </w:tc>
      </w:tr>
      <w:tr w14:paraId="72185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jc w:val="center"/>
        </w:trPr>
        <w:tc>
          <w:tcPr>
            <w:tcW w:w="1721" w:type="dxa"/>
            <w:vMerge w:val="continue"/>
            <w:shd w:val="clear" w:color="auto" w:fill="auto"/>
            <w:vAlign w:val="center"/>
          </w:tcPr>
          <w:p w14:paraId="33902B6F">
            <w:pPr>
              <w:bidi w:val="0"/>
              <w:ind w:left="218" w:leftChars="0" w:hanging="218" w:hangingChars="91"/>
              <w:jc w:val="center"/>
              <w:rPr>
                <w:rFonts w:hint="eastAsia" w:ascii="仿宋_GB2312" w:hAnsi="仿宋_GB2312" w:eastAsia="仿宋_GB2312" w:cs="仿宋_GB2312"/>
                <w:kern w:val="2"/>
                <w:sz w:val="24"/>
                <w:szCs w:val="24"/>
                <w:lang w:val="en-US" w:eastAsia="zh-CN" w:bidi="ar-SA"/>
              </w:rPr>
            </w:pPr>
          </w:p>
        </w:tc>
        <w:tc>
          <w:tcPr>
            <w:tcW w:w="1437" w:type="dxa"/>
            <w:vMerge w:val="continue"/>
            <w:shd w:val="clear" w:color="auto" w:fill="auto"/>
            <w:vAlign w:val="center"/>
          </w:tcPr>
          <w:p w14:paraId="1A1AA081">
            <w:pPr>
              <w:bidi w:val="0"/>
              <w:ind w:left="218" w:leftChars="0" w:hanging="218" w:hangingChars="91"/>
              <w:jc w:val="center"/>
              <w:rPr>
                <w:rFonts w:hint="eastAsia" w:ascii="仿宋_GB2312" w:hAnsi="仿宋_GB2312" w:eastAsia="仿宋_GB2312" w:cs="仿宋_GB2312"/>
                <w:kern w:val="2"/>
                <w:sz w:val="24"/>
                <w:szCs w:val="24"/>
                <w:lang w:val="en-US" w:eastAsia="zh-CN" w:bidi="ar-SA"/>
              </w:rPr>
            </w:pPr>
          </w:p>
        </w:tc>
        <w:tc>
          <w:tcPr>
            <w:tcW w:w="863" w:type="dxa"/>
            <w:tcBorders>
              <w:top w:val="single" w:color="000000" w:sz="4" w:space="0"/>
              <w:bottom w:val="single" w:color="000000" w:sz="4" w:space="0"/>
            </w:tcBorders>
            <w:shd w:val="clear" w:color="auto" w:fill="auto"/>
            <w:vAlign w:val="center"/>
          </w:tcPr>
          <w:p w14:paraId="2D1811C1">
            <w:pPr>
              <w:bidi w:val="0"/>
              <w:ind w:left="218" w:leftChars="0" w:hanging="218" w:hangingChars="91"/>
              <w:jc w:val="cente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w:t>
            </w:r>
          </w:p>
        </w:tc>
        <w:tc>
          <w:tcPr>
            <w:tcW w:w="8161" w:type="dxa"/>
            <w:tcBorders>
              <w:top w:val="single" w:color="000000" w:sz="4" w:space="0"/>
              <w:bottom w:val="single" w:color="000000" w:sz="4" w:space="0"/>
            </w:tcBorders>
            <w:shd w:val="clear" w:color="auto" w:fill="auto"/>
            <w:vAlign w:val="center"/>
          </w:tcPr>
          <w:p w14:paraId="4AAAA050">
            <w:pPr>
              <w:bidi w:val="0"/>
              <w:ind w:left="191" w:leftChars="0" w:hanging="191" w:hangingChars="91"/>
              <w:jc w:val="both"/>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项目执行：履约验收</w:t>
            </w:r>
          </w:p>
          <w:p w14:paraId="37397E5E">
            <w:pPr>
              <w:bidi w:val="0"/>
              <w:ind w:left="191" w:leftChars="0" w:hanging="191" w:hangingChars="91"/>
              <w:jc w:val="both"/>
              <w:rPr>
                <w:rFonts w:hint="eastAsia" w:ascii="仿宋_GB2312" w:hAnsi="仿宋_GB2312" w:eastAsia="仿宋_GB2312" w:cs="仿宋_GB2312"/>
                <w:sz w:val="21"/>
                <w:szCs w:val="24"/>
              </w:rPr>
            </w:pPr>
            <w:r>
              <w:rPr>
                <w:rFonts w:hint="eastAsia" w:ascii="仿宋_GB2312" w:hAnsi="仿宋_GB2312" w:eastAsia="仿宋_GB2312" w:cs="仿宋_GB2312"/>
                <w:sz w:val="21"/>
                <w:szCs w:val="24"/>
                <w:lang w:val="en-US" w:eastAsia="zh-CN"/>
              </w:rPr>
              <w:t>1</w:t>
            </w:r>
            <w:r>
              <w:rPr>
                <w:rFonts w:hint="eastAsia" w:ascii="仿宋_GB2312" w:hAnsi="仿宋_GB2312" w:eastAsia="仿宋_GB2312" w:cs="仿宋_GB2312"/>
                <w:sz w:val="21"/>
                <w:szCs w:val="24"/>
              </w:rPr>
              <w:t>.协助采购人编制</w:t>
            </w:r>
            <w:r>
              <w:rPr>
                <w:rFonts w:hint="eastAsia" w:ascii="仿宋_GB2312" w:hAnsi="仿宋_GB2312" w:eastAsia="仿宋_GB2312" w:cs="仿宋_GB2312"/>
                <w:sz w:val="21"/>
                <w:szCs w:val="24"/>
                <w:lang w:val="en-US" w:eastAsia="zh-CN"/>
              </w:rPr>
              <w:t>完整细化的</w:t>
            </w:r>
            <w:r>
              <w:rPr>
                <w:rFonts w:hint="eastAsia" w:ascii="仿宋_GB2312" w:hAnsi="仿宋_GB2312" w:eastAsia="仿宋_GB2312" w:cs="仿宋_GB2312"/>
                <w:sz w:val="21"/>
                <w:szCs w:val="24"/>
              </w:rPr>
              <w:t>验收方案</w:t>
            </w:r>
            <w:r>
              <w:rPr>
                <w:rFonts w:hint="eastAsia" w:ascii="仿宋_GB2312" w:hAnsi="仿宋_GB2312" w:eastAsia="仿宋_GB2312" w:cs="仿宋_GB2312"/>
                <w:sz w:val="21"/>
                <w:szCs w:val="24"/>
                <w:lang w:eastAsia="zh-CN"/>
              </w:rPr>
              <w:t>，明确履约验收的时间、方式、程序等内容</w:t>
            </w:r>
            <w:r>
              <w:rPr>
                <w:rFonts w:hint="eastAsia" w:ascii="仿宋_GB2312" w:hAnsi="仿宋_GB2312" w:eastAsia="仿宋_GB2312" w:cs="仿宋_GB2312"/>
                <w:sz w:val="21"/>
                <w:szCs w:val="24"/>
              </w:rPr>
              <w:t>。</w:t>
            </w:r>
          </w:p>
          <w:p w14:paraId="7BEB926C">
            <w:pPr>
              <w:bidi w:val="0"/>
              <w:ind w:left="191" w:leftChars="0" w:hanging="191" w:hangingChars="91"/>
              <w:jc w:val="both"/>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szCs w:val="24"/>
                <w:lang w:val="en-US" w:eastAsia="zh-CN"/>
              </w:rPr>
              <w:t>2</w:t>
            </w:r>
            <w:r>
              <w:rPr>
                <w:rFonts w:hint="eastAsia" w:ascii="仿宋_GB2312" w:hAnsi="仿宋_GB2312" w:eastAsia="仿宋_GB2312" w:cs="仿宋_GB2312"/>
                <w:sz w:val="21"/>
                <w:szCs w:val="24"/>
              </w:rPr>
              <w:t>.协助采购人完成履约验收</w:t>
            </w:r>
            <w:r>
              <w:rPr>
                <w:rFonts w:hint="eastAsia" w:ascii="仿宋_GB2312" w:hAnsi="仿宋_GB2312" w:eastAsia="仿宋_GB2312" w:cs="仿宋_GB2312"/>
                <w:sz w:val="21"/>
                <w:szCs w:val="24"/>
                <w:lang w:eastAsia="zh-CN"/>
              </w:rPr>
              <w:t>，</w:t>
            </w:r>
            <w:r>
              <w:rPr>
                <w:rFonts w:hint="eastAsia" w:ascii="仿宋_GB2312" w:hAnsi="仿宋_GB2312" w:eastAsia="仿宋_GB2312" w:cs="仿宋_GB2312"/>
                <w:sz w:val="21"/>
                <w:szCs w:val="24"/>
                <w:lang w:val="en-US" w:eastAsia="zh-CN"/>
              </w:rPr>
              <w:t>并出具项目履约验收报告</w:t>
            </w:r>
            <w:r>
              <w:rPr>
                <w:rFonts w:hint="eastAsia" w:ascii="仿宋_GB2312" w:hAnsi="仿宋_GB2312" w:eastAsia="仿宋_GB2312" w:cs="仿宋_GB2312"/>
                <w:sz w:val="21"/>
                <w:szCs w:val="24"/>
              </w:rPr>
              <w:t>。</w:t>
            </w:r>
          </w:p>
        </w:tc>
        <w:tc>
          <w:tcPr>
            <w:tcW w:w="751" w:type="dxa"/>
            <w:tcBorders>
              <w:top w:val="single" w:color="000000" w:sz="4" w:space="0"/>
              <w:bottom w:val="single" w:color="000000" w:sz="4" w:space="0"/>
            </w:tcBorders>
            <w:shd w:val="clear" w:color="auto" w:fill="auto"/>
            <w:vAlign w:val="center"/>
          </w:tcPr>
          <w:p w14:paraId="35B06ECB">
            <w:pPr>
              <w:bidi w:val="0"/>
              <w:ind w:left="218" w:leftChars="0" w:hanging="218" w:hangingChars="91"/>
              <w:jc w:val="cente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2分</w:t>
            </w:r>
          </w:p>
        </w:tc>
        <w:tc>
          <w:tcPr>
            <w:tcW w:w="1232" w:type="dxa"/>
            <w:tcBorders>
              <w:top w:val="single" w:color="000000" w:sz="4" w:space="0"/>
              <w:bottom w:val="single" w:color="000000" w:sz="4" w:space="0"/>
            </w:tcBorders>
            <w:shd w:val="clear" w:color="auto" w:fill="auto"/>
            <w:vAlign w:val="top"/>
          </w:tcPr>
          <w:p w14:paraId="5A780885">
            <w:pPr>
              <w:bidi w:val="0"/>
              <w:ind w:left="191" w:leftChars="0" w:hanging="191" w:hangingChars="91"/>
              <w:rPr>
                <w:rFonts w:hint="eastAsia" w:ascii="仿宋_GB2312" w:hAnsi="仿宋_GB2312" w:eastAsia="仿宋_GB2312" w:cs="仿宋_GB2312"/>
                <w:kern w:val="2"/>
                <w:sz w:val="21"/>
                <w:szCs w:val="24"/>
                <w:lang w:val="en-US" w:eastAsia="zh-CN" w:bidi="ar-SA"/>
              </w:rPr>
            </w:pPr>
          </w:p>
        </w:tc>
      </w:tr>
      <w:tr w14:paraId="65906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jc w:val="center"/>
        </w:trPr>
        <w:tc>
          <w:tcPr>
            <w:tcW w:w="1721" w:type="dxa"/>
            <w:vMerge w:val="continue"/>
            <w:shd w:val="clear" w:color="auto" w:fill="auto"/>
            <w:vAlign w:val="center"/>
          </w:tcPr>
          <w:p w14:paraId="3F93C4FB">
            <w:pPr>
              <w:bidi w:val="0"/>
              <w:ind w:left="218" w:leftChars="0" w:hanging="218" w:hangingChars="91"/>
              <w:jc w:val="center"/>
              <w:rPr>
                <w:rFonts w:hint="eastAsia" w:ascii="仿宋_GB2312" w:hAnsi="仿宋_GB2312" w:eastAsia="仿宋_GB2312" w:cs="仿宋_GB2312"/>
                <w:kern w:val="2"/>
                <w:sz w:val="24"/>
                <w:szCs w:val="24"/>
                <w:lang w:val="en-US" w:eastAsia="zh-CN" w:bidi="ar-SA"/>
              </w:rPr>
            </w:pPr>
          </w:p>
        </w:tc>
        <w:tc>
          <w:tcPr>
            <w:tcW w:w="1437" w:type="dxa"/>
            <w:vMerge w:val="continue"/>
            <w:shd w:val="clear" w:color="auto" w:fill="auto"/>
            <w:vAlign w:val="center"/>
          </w:tcPr>
          <w:p w14:paraId="501AD8A7">
            <w:pPr>
              <w:bidi w:val="0"/>
              <w:ind w:left="218" w:leftChars="0" w:hanging="218" w:hangingChars="91"/>
              <w:jc w:val="center"/>
              <w:rPr>
                <w:rFonts w:hint="eastAsia" w:ascii="仿宋_GB2312" w:hAnsi="仿宋_GB2312" w:eastAsia="仿宋_GB2312" w:cs="仿宋_GB2312"/>
                <w:kern w:val="2"/>
                <w:sz w:val="24"/>
                <w:szCs w:val="24"/>
                <w:lang w:val="en-US" w:eastAsia="zh-CN" w:bidi="ar-SA"/>
              </w:rPr>
            </w:pPr>
          </w:p>
        </w:tc>
        <w:tc>
          <w:tcPr>
            <w:tcW w:w="863" w:type="dxa"/>
            <w:tcBorders>
              <w:top w:val="single" w:color="000000" w:sz="4" w:space="0"/>
              <w:bottom w:val="single" w:color="000000" w:sz="4" w:space="0"/>
            </w:tcBorders>
            <w:shd w:val="clear" w:color="auto" w:fill="auto"/>
            <w:vAlign w:val="center"/>
          </w:tcPr>
          <w:p w14:paraId="11D90D61">
            <w:pPr>
              <w:bidi w:val="0"/>
              <w:ind w:left="218" w:leftChars="0" w:hanging="218" w:hangingChars="91"/>
              <w:jc w:val="cente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w:t>
            </w:r>
          </w:p>
        </w:tc>
        <w:tc>
          <w:tcPr>
            <w:tcW w:w="8161" w:type="dxa"/>
            <w:tcBorders>
              <w:top w:val="single" w:color="000000" w:sz="4" w:space="0"/>
              <w:bottom w:val="single" w:color="000000" w:sz="4" w:space="0"/>
            </w:tcBorders>
            <w:shd w:val="clear" w:color="auto" w:fill="auto"/>
            <w:vAlign w:val="center"/>
          </w:tcPr>
          <w:p w14:paraId="06543746">
            <w:pPr>
              <w:bidi w:val="0"/>
              <w:ind w:left="191" w:leftChars="0" w:hanging="191" w:hangingChars="91"/>
              <w:jc w:val="both"/>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 xml:space="preserve">项目执行：档案管理   </w:t>
            </w:r>
          </w:p>
          <w:p w14:paraId="2884EA10">
            <w:pPr>
              <w:bidi w:val="0"/>
              <w:ind w:left="191" w:leftChars="0" w:hanging="191" w:hangingChars="91"/>
              <w:jc w:val="both"/>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1.妥善保管采购文件。</w:t>
            </w:r>
          </w:p>
          <w:p w14:paraId="2FA3CA0E">
            <w:pPr>
              <w:bidi w:val="0"/>
              <w:ind w:left="191" w:leftChars="0" w:hanging="191" w:hangingChars="91"/>
              <w:jc w:val="both"/>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szCs w:val="24"/>
              </w:rPr>
              <w:t>2.将音像资料作为采购文件一并存档。</w:t>
            </w:r>
          </w:p>
        </w:tc>
        <w:tc>
          <w:tcPr>
            <w:tcW w:w="751" w:type="dxa"/>
            <w:tcBorders>
              <w:top w:val="single" w:color="000000" w:sz="4" w:space="0"/>
              <w:bottom w:val="single" w:color="000000" w:sz="4" w:space="0"/>
            </w:tcBorders>
            <w:shd w:val="clear" w:color="auto" w:fill="auto"/>
            <w:vAlign w:val="center"/>
          </w:tcPr>
          <w:p w14:paraId="2B91C306">
            <w:pPr>
              <w:bidi w:val="0"/>
              <w:ind w:left="218" w:leftChars="0" w:hanging="218" w:hangingChars="91"/>
              <w:jc w:val="cente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2分</w:t>
            </w:r>
          </w:p>
        </w:tc>
        <w:tc>
          <w:tcPr>
            <w:tcW w:w="1232" w:type="dxa"/>
            <w:tcBorders>
              <w:top w:val="single" w:color="000000" w:sz="4" w:space="0"/>
              <w:bottom w:val="single" w:color="000000" w:sz="4" w:space="0"/>
            </w:tcBorders>
            <w:shd w:val="clear" w:color="auto" w:fill="auto"/>
            <w:vAlign w:val="top"/>
          </w:tcPr>
          <w:p w14:paraId="7B4B4293">
            <w:pPr>
              <w:bidi w:val="0"/>
              <w:ind w:left="191" w:leftChars="0" w:hanging="191" w:hangingChars="91"/>
              <w:rPr>
                <w:rFonts w:hint="eastAsia" w:ascii="仿宋_GB2312" w:hAnsi="仿宋_GB2312" w:eastAsia="仿宋_GB2312" w:cs="仿宋_GB2312"/>
                <w:kern w:val="2"/>
                <w:sz w:val="21"/>
                <w:szCs w:val="24"/>
                <w:lang w:val="en-US" w:eastAsia="zh-CN" w:bidi="ar-SA"/>
              </w:rPr>
            </w:pPr>
          </w:p>
        </w:tc>
      </w:tr>
      <w:tr w14:paraId="5BA4D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jc w:val="center"/>
        </w:trPr>
        <w:tc>
          <w:tcPr>
            <w:tcW w:w="1721" w:type="dxa"/>
            <w:vMerge w:val="continue"/>
            <w:shd w:val="clear" w:color="auto" w:fill="auto"/>
            <w:vAlign w:val="center"/>
          </w:tcPr>
          <w:p w14:paraId="7ACEB0AD">
            <w:pPr>
              <w:bidi w:val="0"/>
              <w:ind w:left="218" w:leftChars="0" w:hanging="218" w:hangingChars="91"/>
              <w:jc w:val="center"/>
              <w:rPr>
                <w:rFonts w:hint="eastAsia" w:ascii="仿宋_GB2312" w:hAnsi="仿宋_GB2312" w:eastAsia="仿宋_GB2312" w:cs="仿宋_GB2312"/>
                <w:kern w:val="2"/>
                <w:sz w:val="24"/>
                <w:szCs w:val="32"/>
                <w:lang w:val="en-US" w:eastAsia="zh-CN" w:bidi="ar-SA"/>
              </w:rPr>
            </w:pPr>
          </w:p>
        </w:tc>
        <w:tc>
          <w:tcPr>
            <w:tcW w:w="1437" w:type="dxa"/>
            <w:vMerge w:val="restart"/>
            <w:shd w:val="clear" w:color="auto" w:fill="auto"/>
            <w:vAlign w:val="center"/>
          </w:tcPr>
          <w:p w14:paraId="4F43AB98">
            <w:pPr>
              <w:bidi w:val="0"/>
              <w:ind w:left="218" w:leftChars="0" w:hanging="218" w:hangingChars="91"/>
              <w:jc w:val="center"/>
              <w:rPr>
                <w:rFonts w:hint="default" w:ascii="仿宋_GB2312" w:hAnsi="仿宋_GB2312" w:eastAsia="仿宋_GB2312" w:cs="仿宋_GB2312"/>
                <w:kern w:val="2"/>
                <w:sz w:val="24"/>
                <w:szCs w:val="32"/>
                <w:lang w:val="en-US" w:eastAsia="zh-CN" w:bidi="ar-SA"/>
              </w:rPr>
            </w:pPr>
            <w:r>
              <w:rPr>
                <w:rFonts w:hint="eastAsia" w:ascii="仿宋_GB2312" w:hAnsi="仿宋_GB2312" w:eastAsia="仿宋_GB2312" w:cs="仿宋_GB2312"/>
                <w:kern w:val="2"/>
                <w:sz w:val="24"/>
                <w:szCs w:val="32"/>
                <w:lang w:val="en-US" w:eastAsia="zh-CN" w:bidi="ar-SA"/>
              </w:rPr>
              <w:t>3.4其他</w:t>
            </w:r>
          </w:p>
        </w:tc>
        <w:tc>
          <w:tcPr>
            <w:tcW w:w="863" w:type="dxa"/>
            <w:tcBorders>
              <w:top w:val="single" w:color="000000" w:sz="4" w:space="0"/>
            </w:tcBorders>
            <w:shd w:val="clear" w:color="auto" w:fill="auto"/>
            <w:vAlign w:val="center"/>
          </w:tcPr>
          <w:p w14:paraId="60E643F0">
            <w:pPr>
              <w:bidi w:val="0"/>
              <w:ind w:left="218" w:leftChars="0" w:hanging="218" w:hangingChars="91"/>
              <w:jc w:val="cente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w:t>
            </w:r>
          </w:p>
        </w:tc>
        <w:tc>
          <w:tcPr>
            <w:tcW w:w="8161" w:type="dxa"/>
            <w:tcBorders>
              <w:top w:val="single" w:color="000000" w:sz="4" w:space="0"/>
            </w:tcBorders>
            <w:shd w:val="clear" w:color="auto" w:fill="auto"/>
            <w:vAlign w:val="center"/>
          </w:tcPr>
          <w:p w14:paraId="7EC585C0">
            <w:pPr>
              <w:bidi w:val="0"/>
              <w:ind w:left="191" w:leftChars="0" w:hanging="191" w:hangingChars="91"/>
              <w:jc w:val="both"/>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项目执行：质疑答复</w:t>
            </w:r>
          </w:p>
          <w:p w14:paraId="13077FBE">
            <w:pPr>
              <w:bidi w:val="0"/>
              <w:ind w:left="191" w:leftChars="0" w:hanging="191" w:hangingChars="91"/>
              <w:jc w:val="both"/>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1.本季度内未收到质疑答复。</w:t>
            </w:r>
          </w:p>
          <w:p w14:paraId="0108543B">
            <w:pPr>
              <w:bidi w:val="0"/>
              <w:ind w:left="191" w:leftChars="0" w:hanging="191" w:hangingChars="91"/>
              <w:jc w:val="both"/>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1.质疑答复的内容、时间等符合相关规定。</w:t>
            </w:r>
          </w:p>
          <w:p w14:paraId="628454F1">
            <w:pPr>
              <w:bidi w:val="0"/>
              <w:ind w:left="191" w:leftChars="0" w:hanging="191" w:hangingChars="91"/>
              <w:jc w:val="both"/>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sz w:val="21"/>
                <w:szCs w:val="24"/>
              </w:rPr>
              <w:t>2.如对评审结果进行改变，须符合法律规定。</w:t>
            </w:r>
          </w:p>
        </w:tc>
        <w:tc>
          <w:tcPr>
            <w:tcW w:w="751" w:type="dxa"/>
            <w:tcBorders>
              <w:top w:val="single" w:color="000000" w:sz="4" w:space="0"/>
            </w:tcBorders>
            <w:shd w:val="clear" w:color="auto" w:fill="auto"/>
            <w:vAlign w:val="center"/>
          </w:tcPr>
          <w:p w14:paraId="664166F0">
            <w:pPr>
              <w:bidi w:val="0"/>
              <w:ind w:left="218" w:leftChars="0" w:hanging="218" w:hangingChars="91"/>
              <w:jc w:val="cente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2分</w:t>
            </w:r>
          </w:p>
        </w:tc>
        <w:tc>
          <w:tcPr>
            <w:tcW w:w="1232" w:type="dxa"/>
            <w:tcBorders>
              <w:top w:val="single" w:color="000000" w:sz="4" w:space="0"/>
              <w:bottom w:val="single" w:color="000000" w:sz="4" w:space="0"/>
            </w:tcBorders>
            <w:shd w:val="clear" w:color="auto" w:fill="auto"/>
            <w:vAlign w:val="center"/>
          </w:tcPr>
          <w:p w14:paraId="5DF8AA98">
            <w:pPr>
              <w:bidi w:val="0"/>
              <w:ind w:left="191" w:leftChars="0" w:hanging="191" w:hangingChars="91"/>
              <w:jc w:val="both"/>
              <w:rPr>
                <w:rFonts w:hint="eastAsia" w:ascii="仿宋_GB2312" w:hAnsi="仿宋_GB2312" w:eastAsia="仿宋_GB2312" w:cs="仿宋_GB2312"/>
                <w:kern w:val="2"/>
                <w:sz w:val="21"/>
                <w:szCs w:val="24"/>
                <w:lang w:val="en-US" w:eastAsia="zh-CN" w:bidi="ar-SA"/>
              </w:rPr>
            </w:pPr>
          </w:p>
        </w:tc>
      </w:tr>
      <w:tr w14:paraId="533A8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1" w:hRule="atLeast"/>
          <w:jc w:val="center"/>
        </w:trPr>
        <w:tc>
          <w:tcPr>
            <w:tcW w:w="1721" w:type="dxa"/>
            <w:vMerge w:val="continue"/>
            <w:shd w:val="clear" w:color="auto" w:fill="auto"/>
            <w:vAlign w:val="center"/>
          </w:tcPr>
          <w:p w14:paraId="63F60A48">
            <w:pPr>
              <w:bidi w:val="0"/>
              <w:ind w:left="218" w:leftChars="0" w:hanging="218" w:hangingChars="91"/>
              <w:jc w:val="center"/>
              <w:rPr>
                <w:rFonts w:hint="eastAsia" w:ascii="仿宋_GB2312" w:hAnsi="仿宋_GB2312" w:eastAsia="仿宋_GB2312" w:cs="仿宋_GB2312"/>
                <w:kern w:val="2"/>
                <w:sz w:val="24"/>
                <w:szCs w:val="32"/>
                <w:lang w:val="en-US" w:eastAsia="zh-CN" w:bidi="ar-SA"/>
              </w:rPr>
            </w:pPr>
          </w:p>
        </w:tc>
        <w:tc>
          <w:tcPr>
            <w:tcW w:w="1437" w:type="dxa"/>
            <w:vMerge w:val="continue"/>
            <w:shd w:val="clear" w:color="auto" w:fill="auto"/>
            <w:vAlign w:val="center"/>
          </w:tcPr>
          <w:p w14:paraId="65E67ED6">
            <w:pPr>
              <w:bidi w:val="0"/>
              <w:ind w:left="218" w:leftChars="0" w:hanging="218" w:hangingChars="91"/>
              <w:jc w:val="center"/>
              <w:rPr>
                <w:rFonts w:hint="eastAsia" w:ascii="仿宋_GB2312" w:hAnsi="仿宋_GB2312" w:eastAsia="仿宋_GB2312" w:cs="仿宋_GB2312"/>
                <w:kern w:val="2"/>
                <w:sz w:val="24"/>
                <w:szCs w:val="32"/>
                <w:lang w:val="en-US" w:eastAsia="zh-CN" w:bidi="ar-SA"/>
              </w:rPr>
            </w:pPr>
          </w:p>
        </w:tc>
        <w:tc>
          <w:tcPr>
            <w:tcW w:w="863" w:type="dxa"/>
            <w:tcBorders>
              <w:top w:val="single" w:color="000000" w:sz="4" w:space="0"/>
            </w:tcBorders>
            <w:shd w:val="clear" w:color="auto" w:fill="auto"/>
            <w:vAlign w:val="center"/>
          </w:tcPr>
          <w:p w14:paraId="78387F35">
            <w:pPr>
              <w:bidi w:val="0"/>
              <w:ind w:left="218" w:leftChars="0" w:hanging="218" w:hangingChars="91"/>
              <w:jc w:val="cente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w:t>
            </w:r>
          </w:p>
        </w:tc>
        <w:tc>
          <w:tcPr>
            <w:tcW w:w="8161" w:type="dxa"/>
            <w:tcBorders>
              <w:top w:val="single" w:color="000000" w:sz="4" w:space="0"/>
            </w:tcBorders>
            <w:shd w:val="clear" w:color="auto" w:fill="auto"/>
            <w:vAlign w:val="center"/>
          </w:tcPr>
          <w:p w14:paraId="46966518">
            <w:pPr>
              <w:bidi w:val="0"/>
              <w:ind w:left="191" w:leftChars="0" w:hanging="191" w:hangingChars="91"/>
              <w:jc w:val="both"/>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项目执行：清单化管理</w:t>
            </w:r>
          </w:p>
          <w:p w14:paraId="6CE0E4DF">
            <w:pPr>
              <w:numPr>
                <w:ilvl w:val="0"/>
                <w:numId w:val="0"/>
              </w:numPr>
              <w:bidi w:val="0"/>
              <w:ind w:left="191" w:leftChars="0" w:hanging="191" w:hangingChars="91"/>
              <w:jc w:val="both"/>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kern w:val="2"/>
                <w:sz w:val="21"/>
                <w:szCs w:val="24"/>
                <w:lang w:val="en-US" w:eastAsia="zh-CN" w:bidi="ar-SA"/>
              </w:rPr>
              <w:t>1.</w:t>
            </w:r>
            <w:r>
              <w:rPr>
                <w:rFonts w:hint="eastAsia" w:ascii="仿宋_GB2312" w:hAnsi="仿宋_GB2312" w:eastAsia="仿宋_GB2312" w:cs="仿宋_GB2312"/>
                <w:sz w:val="21"/>
                <w:szCs w:val="24"/>
                <w:lang w:val="en-US" w:eastAsia="zh-CN"/>
              </w:rPr>
              <w:t>填写《广水市政府采购代理机构代理项目清单》。</w:t>
            </w:r>
          </w:p>
          <w:p w14:paraId="47E30C53">
            <w:pPr>
              <w:numPr>
                <w:ilvl w:val="0"/>
                <w:numId w:val="0"/>
              </w:numPr>
              <w:bidi w:val="0"/>
              <w:jc w:val="both"/>
              <w:rPr>
                <w:rFonts w:hint="default"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2.填写《项目操作程序质量管理控制表》（包括项目承接及项目操作），文件编制做到三阅三审（自审、二审、三审）。</w:t>
            </w:r>
          </w:p>
        </w:tc>
        <w:tc>
          <w:tcPr>
            <w:tcW w:w="751" w:type="dxa"/>
            <w:tcBorders>
              <w:top w:val="single" w:color="000000" w:sz="4" w:space="0"/>
            </w:tcBorders>
            <w:shd w:val="clear" w:color="auto" w:fill="auto"/>
            <w:vAlign w:val="center"/>
          </w:tcPr>
          <w:p w14:paraId="11FD7544">
            <w:pPr>
              <w:bidi w:val="0"/>
              <w:ind w:left="218" w:leftChars="0" w:hanging="218" w:hangingChars="91"/>
              <w:jc w:val="cente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2分</w:t>
            </w:r>
          </w:p>
        </w:tc>
        <w:tc>
          <w:tcPr>
            <w:tcW w:w="1232" w:type="dxa"/>
            <w:tcBorders>
              <w:top w:val="single" w:color="000000" w:sz="4" w:space="0"/>
              <w:bottom w:val="single" w:color="000000" w:sz="4" w:space="0"/>
            </w:tcBorders>
            <w:shd w:val="clear" w:color="auto" w:fill="auto"/>
            <w:vAlign w:val="center"/>
          </w:tcPr>
          <w:p w14:paraId="742B3F0F">
            <w:pPr>
              <w:bidi w:val="0"/>
              <w:ind w:left="191" w:leftChars="0" w:hanging="191" w:hangingChars="91"/>
              <w:jc w:val="both"/>
              <w:rPr>
                <w:rFonts w:hint="eastAsia" w:ascii="仿宋_GB2312" w:hAnsi="仿宋_GB2312" w:eastAsia="仿宋_GB2312" w:cs="仿宋_GB2312"/>
                <w:kern w:val="2"/>
                <w:sz w:val="21"/>
                <w:szCs w:val="24"/>
                <w:lang w:val="en-US" w:eastAsia="zh-CN" w:bidi="ar-SA"/>
              </w:rPr>
            </w:pPr>
          </w:p>
        </w:tc>
      </w:tr>
    </w:tbl>
    <w:tbl>
      <w:tblPr>
        <w:tblStyle w:val="5"/>
        <w:tblpPr w:leftFromText="180" w:rightFromText="180" w:vertAnchor="text" w:horzAnchor="page" w:tblpX="1350" w:tblpY="73"/>
        <w:tblOverlap w:val="never"/>
        <w:tblW w:w="145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51"/>
        <w:gridCol w:w="1405"/>
        <w:gridCol w:w="995"/>
        <w:gridCol w:w="7514"/>
        <w:gridCol w:w="668"/>
        <w:gridCol w:w="1337"/>
      </w:tblGrid>
      <w:tr w14:paraId="1D403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2651" w:type="dxa"/>
            <w:vAlign w:val="center"/>
          </w:tcPr>
          <w:p w14:paraId="20CF250E">
            <w:pPr>
              <w:pStyle w:val="6"/>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eastAsia" w:ascii="仿宋_GB2312" w:hAnsi="仿宋_GB2312" w:eastAsia="仿宋_GB2312" w:cs="仿宋_GB2312"/>
                <w:b/>
                <w:bCs/>
                <w:spacing w:val="0"/>
                <w:sz w:val="24"/>
                <w:szCs w:val="24"/>
              </w:rPr>
            </w:pPr>
            <w:r>
              <w:rPr>
                <w:rFonts w:hint="eastAsia" w:ascii="仿宋_GB2312" w:hAnsi="仿宋_GB2312" w:eastAsia="仿宋_GB2312" w:cs="仿宋_GB2312"/>
                <w:b/>
                <w:bCs/>
                <w:spacing w:val="0"/>
                <w:sz w:val="24"/>
                <w:szCs w:val="24"/>
              </w:rPr>
              <w:t>一级指标</w:t>
            </w:r>
          </w:p>
        </w:tc>
        <w:tc>
          <w:tcPr>
            <w:tcW w:w="1405" w:type="dxa"/>
            <w:vAlign w:val="center"/>
          </w:tcPr>
          <w:p w14:paraId="1249793F">
            <w:pPr>
              <w:pStyle w:val="6"/>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eastAsia" w:ascii="仿宋_GB2312" w:hAnsi="仿宋_GB2312" w:eastAsia="仿宋_GB2312" w:cs="仿宋_GB2312"/>
                <w:b/>
                <w:bCs/>
                <w:spacing w:val="0"/>
                <w:sz w:val="24"/>
                <w:szCs w:val="24"/>
              </w:rPr>
            </w:pPr>
            <w:r>
              <w:rPr>
                <w:rFonts w:hint="eastAsia" w:ascii="仿宋_GB2312" w:hAnsi="仿宋_GB2312" w:eastAsia="仿宋_GB2312" w:cs="仿宋_GB2312"/>
                <w:b/>
                <w:bCs/>
                <w:spacing w:val="0"/>
                <w:sz w:val="24"/>
                <w:szCs w:val="24"/>
              </w:rPr>
              <w:t>二级指标</w:t>
            </w:r>
          </w:p>
        </w:tc>
        <w:tc>
          <w:tcPr>
            <w:tcW w:w="995" w:type="dxa"/>
            <w:vAlign w:val="center"/>
          </w:tcPr>
          <w:p w14:paraId="30AEA1D5">
            <w:pPr>
              <w:pStyle w:val="6"/>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eastAsia" w:ascii="仿宋_GB2312" w:hAnsi="仿宋_GB2312" w:eastAsia="仿宋_GB2312" w:cs="仿宋_GB2312"/>
                <w:b/>
                <w:bCs/>
                <w:spacing w:val="0"/>
                <w:sz w:val="24"/>
                <w:szCs w:val="24"/>
              </w:rPr>
            </w:pPr>
            <w:r>
              <w:rPr>
                <w:rFonts w:hint="eastAsia" w:ascii="仿宋_GB2312" w:hAnsi="仿宋_GB2312" w:eastAsia="仿宋_GB2312" w:cs="仿宋_GB2312"/>
                <w:b/>
                <w:bCs/>
                <w:spacing w:val="0"/>
                <w:sz w:val="24"/>
                <w:szCs w:val="24"/>
              </w:rPr>
              <w:t>权重</w:t>
            </w:r>
          </w:p>
        </w:tc>
        <w:tc>
          <w:tcPr>
            <w:tcW w:w="7514" w:type="dxa"/>
            <w:vAlign w:val="center"/>
          </w:tcPr>
          <w:p w14:paraId="2B532E7A">
            <w:pPr>
              <w:pStyle w:val="6"/>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eastAsia" w:ascii="仿宋_GB2312" w:hAnsi="仿宋_GB2312" w:eastAsia="仿宋_GB2312" w:cs="仿宋_GB2312"/>
                <w:b/>
                <w:bCs/>
                <w:spacing w:val="0"/>
                <w:sz w:val="24"/>
                <w:szCs w:val="24"/>
              </w:rPr>
            </w:pPr>
            <w:r>
              <w:rPr>
                <w:rFonts w:hint="eastAsia" w:ascii="仿宋_GB2312" w:hAnsi="仿宋_GB2312" w:eastAsia="仿宋_GB2312" w:cs="仿宋_GB2312"/>
                <w:b/>
                <w:bCs/>
                <w:spacing w:val="0"/>
                <w:sz w:val="24"/>
                <w:szCs w:val="24"/>
              </w:rPr>
              <w:t>评价内容</w:t>
            </w:r>
          </w:p>
        </w:tc>
        <w:tc>
          <w:tcPr>
            <w:tcW w:w="668" w:type="dxa"/>
            <w:vAlign w:val="center"/>
          </w:tcPr>
          <w:p w14:paraId="24370102">
            <w:pPr>
              <w:pStyle w:val="6"/>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eastAsia" w:ascii="仿宋_GB2312" w:hAnsi="仿宋_GB2312" w:eastAsia="仿宋_GB2312" w:cs="仿宋_GB2312"/>
                <w:b/>
                <w:bCs/>
                <w:spacing w:val="0"/>
                <w:sz w:val="24"/>
                <w:szCs w:val="24"/>
              </w:rPr>
            </w:pPr>
            <w:r>
              <w:rPr>
                <w:rFonts w:hint="eastAsia" w:ascii="仿宋_GB2312" w:hAnsi="仿宋_GB2312" w:eastAsia="仿宋_GB2312" w:cs="仿宋_GB2312"/>
                <w:b/>
                <w:bCs/>
                <w:spacing w:val="0"/>
                <w:sz w:val="24"/>
                <w:szCs w:val="24"/>
              </w:rPr>
              <w:t>分值</w:t>
            </w:r>
          </w:p>
        </w:tc>
        <w:tc>
          <w:tcPr>
            <w:tcW w:w="1337" w:type="dxa"/>
            <w:vAlign w:val="center"/>
          </w:tcPr>
          <w:p w14:paraId="7AB741AE">
            <w:pPr>
              <w:pStyle w:val="6"/>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eastAsia" w:ascii="仿宋_GB2312" w:hAnsi="仿宋_GB2312" w:eastAsia="仿宋_GB2312" w:cs="仿宋_GB2312"/>
                <w:b/>
                <w:bCs/>
                <w:spacing w:val="0"/>
                <w:sz w:val="24"/>
                <w:szCs w:val="24"/>
              </w:rPr>
            </w:pPr>
            <w:r>
              <w:rPr>
                <w:rFonts w:hint="eastAsia" w:ascii="仿宋_GB2312" w:hAnsi="仿宋_GB2312" w:eastAsia="仿宋_GB2312" w:cs="仿宋_GB2312"/>
                <w:b/>
                <w:bCs/>
                <w:spacing w:val="0"/>
                <w:sz w:val="24"/>
                <w:szCs w:val="24"/>
              </w:rPr>
              <w:t>财政部门</w:t>
            </w:r>
          </w:p>
          <w:p w14:paraId="68838412">
            <w:pPr>
              <w:pStyle w:val="6"/>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eastAsia" w:ascii="仿宋_GB2312" w:hAnsi="仿宋_GB2312" w:eastAsia="仿宋_GB2312" w:cs="仿宋_GB2312"/>
                <w:b/>
                <w:bCs/>
                <w:spacing w:val="0"/>
                <w:sz w:val="24"/>
                <w:szCs w:val="24"/>
                <w:lang w:val="en-US" w:eastAsia="zh-CN"/>
              </w:rPr>
            </w:pPr>
            <w:r>
              <w:rPr>
                <w:rFonts w:hint="eastAsia" w:ascii="仿宋_GB2312" w:hAnsi="仿宋_GB2312" w:eastAsia="仿宋_GB2312" w:cs="仿宋_GB2312"/>
                <w:b/>
                <w:bCs/>
                <w:spacing w:val="0"/>
                <w:sz w:val="24"/>
                <w:szCs w:val="24"/>
              </w:rPr>
              <w:t>检查</w:t>
            </w:r>
            <w:r>
              <w:rPr>
                <w:rFonts w:hint="eastAsia" w:ascii="仿宋_GB2312" w:hAnsi="仿宋_GB2312" w:eastAsia="仿宋_GB2312" w:cs="仿宋_GB2312"/>
                <w:b/>
                <w:bCs/>
                <w:spacing w:val="0"/>
                <w:sz w:val="24"/>
                <w:szCs w:val="24"/>
                <w:lang w:val="en-US" w:eastAsia="zh-CN"/>
              </w:rPr>
              <w:t>评分</w:t>
            </w:r>
          </w:p>
        </w:tc>
      </w:tr>
      <w:tr w14:paraId="07A58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7" w:hRule="exact"/>
        </w:trPr>
        <w:tc>
          <w:tcPr>
            <w:tcW w:w="2651" w:type="dxa"/>
            <w:vMerge w:val="restart"/>
            <w:shd w:val="clear" w:color="auto" w:fill="auto"/>
            <w:vAlign w:val="center"/>
          </w:tcPr>
          <w:p w14:paraId="4A78E84B">
            <w:pPr>
              <w:numPr>
                <w:ilvl w:val="0"/>
                <w:numId w:val="0"/>
              </w:numPr>
              <w:bidi w:val="0"/>
              <w:jc w:val="center"/>
              <w:rPr>
                <w:rFonts w:hint="eastAsia" w:ascii="仿宋_GB2312" w:hAnsi="仿宋_GB2312" w:eastAsia="仿宋_GB2312" w:cs="仿宋_GB2312"/>
                <w:kern w:val="2"/>
                <w:sz w:val="24"/>
                <w:szCs w:val="32"/>
                <w:lang w:val="en-US" w:eastAsia="zh-CN" w:bidi="ar-SA"/>
              </w:rPr>
            </w:pPr>
            <w:r>
              <w:rPr>
                <w:rFonts w:hint="eastAsia" w:ascii="仿宋_GB2312" w:hAnsi="仿宋_GB2312" w:eastAsia="仿宋_GB2312" w:cs="仿宋_GB2312"/>
                <w:kern w:val="2"/>
                <w:sz w:val="24"/>
                <w:szCs w:val="32"/>
                <w:lang w:val="en-US" w:eastAsia="zh-CN" w:bidi="ar-SA"/>
              </w:rPr>
              <w:t>4.服务</w:t>
            </w:r>
          </w:p>
          <w:p w14:paraId="5384B6AB">
            <w:pPr>
              <w:numPr>
                <w:ilvl w:val="0"/>
                <w:numId w:val="0"/>
              </w:numPr>
              <w:bidi w:val="0"/>
              <w:ind w:left="0" w:leftChars="0" w:firstLine="0" w:firstLineChars="0"/>
              <w:jc w:val="center"/>
              <w:rPr>
                <w:rFonts w:hint="eastAsia" w:ascii="仿宋_GB2312" w:hAnsi="仿宋_GB2312" w:eastAsia="仿宋_GB2312" w:cs="仿宋_GB2312"/>
                <w:kern w:val="2"/>
                <w:sz w:val="24"/>
                <w:szCs w:val="32"/>
                <w:lang w:val="en-US" w:eastAsia="zh-CN" w:bidi="ar-SA"/>
              </w:rPr>
            </w:pPr>
            <w:r>
              <w:rPr>
                <w:rFonts w:hint="eastAsia" w:ascii="仿宋_GB2312" w:hAnsi="仿宋_GB2312" w:eastAsia="仿宋_GB2312" w:cs="仿宋_GB2312"/>
                <w:kern w:val="2"/>
                <w:sz w:val="24"/>
                <w:szCs w:val="32"/>
                <w:lang w:val="en-US" w:eastAsia="zh-CN" w:bidi="ar-SA"/>
              </w:rPr>
              <w:t>评价情况（10%）</w:t>
            </w:r>
          </w:p>
        </w:tc>
        <w:tc>
          <w:tcPr>
            <w:tcW w:w="1405" w:type="dxa"/>
            <w:shd w:val="clear" w:color="auto" w:fill="auto"/>
            <w:vAlign w:val="center"/>
          </w:tcPr>
          <w:p w14:paraId="19A7BCDE">
            <w:pPr>
              <w:numPr>
                <w:ilvl w:val="0"/>
                <w:numId w:val="0"/>
              </w:numPr>
              <w:bidi w:val="0"/>
              <w:ind w:left="0" w:leftChars="0"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32"/>
                <w:lang w:val="en-US" w:eastAsia="zh-CN" w:bidi="ar-SA"/>
              </w:rPr>
              <w:t>4.1三方评价情况</w:t>
            </w:r>
          </w:p>
        </w:tc>
        <w:tc>
          <w:tcPr>
            <w:tcW w:w="995" w:type="dxa"/>
            <w:shd w:val="clear" w:color="auto" w:fill="auto"/>
            <w:vAlign w:val="center"/>
          </w:tcPr>
          <w:p w14:paraId="468C4EA2">
            <w:pPr>
              <w:numPr>
                <w:ilvl w:val="0"/>
                <w:numId w:val="0"/>
              </w:numPr>
              <w:bidi w:val="0"/>
              <w:ind w:left="0" w:leftChars="0"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w:t>
            </w:r>
          </w:p>
        </w:tc>
        <w:tc>
          <w:tcPr>
            <w:tcW w:w="7514" w:type="dxa"/>
            <w:shd w:val="clear" w:color="auto" w:fill="auto"/>
            <w:vAlign w:val="center"/>
          </w:tcPr>
          <w:p w14:paraId="0DFA97F8">
            <w:pPr>
              <w:bidi w:val="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1.按照规定及时在政府采购汇聚平台上对采购人、评审专家、供应商进行四方评价。</w:t>
            </w:r>
          </w:p>
          <w:p w14:paraId="7C6FC531">
            <w:pPr>
              <w:numPr>
                <w:ilvl w:val="0"/>
                <w:numId w:val="0"/>
              </w:numPr>
              <w:bidi w:val="0"/>
              <w:ind w:left="0" w:leftChars="0" w:firstLine="0" w:firstLineChars="0"/>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lang w:val="en-US" w:eastAsia="zh-CN"/>
              </w:rPr>
              <w:t>2.在该季度的采购项目中，采购人、评审专家、供应商在政府采购汇聚平台上对代理机构项目评价的平均分不低于90分。</w:t>
            </w:r>
          </w:p>
        </w:tc>
        <w:tc>
          <w:tcPr>
            <w:tcW w:w="668" w:type="dxa"/>
            <w:shd w:val="clear" w:color="auto" w:fill="auto"/>
            <w:vAlign w:val="center"/>
          </w:tcPr>
          <w:p w14:paraId="2CA2DC99">
            <w:pPr>
              <w:numPr>
                <w:ilvl w:val="0"/>
                <w:numId w:val="0"/>
              </w:numPr>
              <w:bidi w:val="0"/>
              <w:ind w:left="0" w:leftChars="0" w:firstLine="0" w:firstLine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5分</w:t>
            </w:r>
          </w:p>
        </w:tc>
        <w:tc>
          <w:tcPr>
            <w:tcW w:w="1337" w:type="dxa"/>
            <w:shd w:val="clear" w:color="auto" w:fill="auto"/>
            <w:vAlign w:val="center"/>
          </w:tcPr>
          <w:p w14:paraId="44E76B8B">
            <w:pPr>
              <w:numPr>
                <w:ilvl w:val="0"/>
                <w:numId w:val="0"/>
              </w:numPr>
              <w:bidi w:val="0"/>
              <w:ind w:left="0" w:leftChars="0" w:firstLine="0" w:firstLineChars="0"/>
              <w:jc w:val="center"/>
              <w:rPr>
                <w:rFonts w:hint="eastAsia" w:ascii="仿宋_GB2312" w:hAnsi="仿宋_GB2312" w:eastAsia="仿宋_GB2312" w:cs="仿宋_GB2312"/>
                <w:kern w:val="2"/>
                <w:sz w:val="24"/>
                <w:szCs w:val="24"/>
                <w:lang w:val="en-US" w:eastAsia="zh-CN" w:bidi="ar-SA"/>
              </w:rPr>
            </w:pPr>
          </w:p>
        </w:tc>
      </w:tr>
      <w:tr w14:paraId="485DC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7" w:hRule="exact"/>
        </w:trPr>
        <w:tc>
          <w:tcPr>
            <w:tcW w:w="2651" w:type="dxa"/>
            <w:vMerge w:val="continue"/>
            <w:shd w:val="clear" w:color="auto" w:fill="auto"/>
            <w:vAlign w:val="center"/>
          </w:tcPr>
          <w:p w14:paraId="68F0182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32"/>
                <w:lang w:val="en-US" w:eastAsia="zh-CN" w:bidi="ar-SA"/>
              </w:rPr>
            </w:pPr>
          </w:p>
        </w:tc>
        <w:tc>
          <w:tcPr>
            <w:tcW w:w="1405" w:type="dxa"/>
            <w:shd w:val="clear" w:color="auto" w:fill="auto"/>
            <w:vAlign w:val="center"/>
          </w:tcPr>
          <w:p w14:paraId="7E43917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32"/>
                <w:lang w:val="en-US" w:eastAsia="zh-CN" w:bidi="ar-SA"/>
              </w:rPr>
            </w:pPr>
            <w:r>
              <w:rPr>
                <w:rFonts w:hint="eastAsia" w:ascii="仿宋_GB2312" w:hAnsi="仿宋_GB2312" w:eastAsia="仿宋_GB2312" w:cs="仿宋_GB2312"/>
                <w:sz w:val="24"/>
                <w:szCs w:val="24"/>
                <w:lang w:val="en-US" w:eastAsia="zh-CN"/>
              </w:rPr>
              <w:t>4.2社会满意度情况</w:t>
            </w:r>
          </w:p>
        </w:tc>
        <w:tc>
          <w:tcPr>
            <w:tcW w:w="995" w:type="dxa"/>
            <w:shd w:val="clear" w:color="auto" w:fill="auto"/>
            <w:vAlign w:val="center"/>
          </w:tcPr>
          <w:p w14:paraId="2A49C9C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w:t>
            </w:r>
          </w:p>
        </w:tc>
        <w:tc>
          <w:tcPr>
            <w:tcW w:w="7514" w:type="dxa"/>
            <w:shd w:val="clear" w:color="auto" w:fill="auto"/>
            <w:vAlign w:val="center"/>
          </w:tcPr>
          <w:p w14:paraId="6414B700">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kern w:val="2"/>
                <w:sz w:val="21"/>
                <w:szCs w:val="24"/>
                <w:lang w:val="en-US" w:eastAsia="zh-CN" w:bidi="ar-SA"/>
              </w:rPr>
              <w:t>根据《广水市代理机构服务满意度调查问卷》填报情况进行得分：</w:t>
            </w:r>
          </w:p>
          <w:p w14:paraId="0E2DDC0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kern w:val="2"/>
                <w:sz w:val="21"/>
                <w:szCs w:val="24"/>
                <w:lang w:val="en-US" w:eastAsia="zh-CN" w:bidi="ar-SA"/>
              </w:rPr>
              <w:t>1.综合表现为非常满意，得5分。</w:t>
            </w:r>
          </w:p>
          <w:p w14:paraId="0DD632E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firstLine="0" w:firstLineChars="0"/>
              <w:textAlignment w:val="auto"/>
              <w:rPr>
                <w:rFonts w:hint="default" w:ascii="仿宋_GB2312" w:hAnsi="仿宋_GB2312" w:eastAsia="仿宋_GB2312" w:cs="仿宋_GB2312"/>
                <w:kern w:val="2"/>
                <w:sz w:val="21"/>
                <w:szCs w:val="24"/>
                <w:lang w:val="en-US" w:eastAsia="zh-CN" w:bidi="ar-SA"/>
              </w:rPr>
            </w:pPr>
            <w:r>
              <w:rPr>
                <w:rFonts w:hint="eastAsia" w:ascii="仿宋_GB2312" w:hAnsi="仿宋_GB2312" w:eastAsia="仿宋_GB2312" w:cs="仿宋_GB2312"/>
                <w:kern w:val="2"/>
                <w:sz w:val="21"/>
                <w:szCs w:val="24"/>
                <w:lang w:val="en-US" w:eastAsia="zh-CN" w:bidi="ar-SA"/>
              </w:rPr>
              <w:t>2</w:t>
            </w:r>
            <w:r>
              <w:rPr>
                <w:rFonts w:hint="default" w:ascii="仿宋_GB2312" w:hAnsi="仿宋_GB2312" w:eastAsia="仿宋_GB2312" w:cs="仿宋_GB2312"/>
                <w:kern w:val="2"/>
                <w:sz w:val="21"/>
                <w:szCs w:val="24"/>
                <w:lang w:val="en-US" w:eastAsia="zh-CN" w:bidi="ar-SA"/>
              </w:rPr>
              <w:t>.</w:t>
            </w:r>
            <w:r>
              <w:rPr>
                <w:rFonts w:hint="eastAsia" w:ascii="仿宋_GB2312" w:hAnsi="仿宋_GB2312" w:eastAsia="仿宋_GB2312" w:cs="仿宋_GB2312"/>
                <w:kern w:val="2"/>
                <w:sz w:val="21"/>
                <w:szCs w:val="24"/>
                <w:lang w:val="en-US" w:eastAsia="zh-CN" w:bidi="ar-SA"/>
              </w:rPr>
              <w:t>综合表现为满意，得4分。</w:t>
            </w:r>
          </w:p>
          <w:p w14:paraId="56E35D7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firstLine="0" w:firstLineChars="0"/>
              <w:textAlignment w:val="auto"/>
              <w:rPr>
                <w:rFonts w:hint="default" w:ascii="仿宋_GB2312" w:hAnsi="仿宋_GB2312" w:eastAsia="仿宋_GB2312" w:cs="仿宋_GB2312"/>
                <w:kern w:val="2"/>
                <w:sz w:val="21"/>
                <w:szCs w:val="24"/>
                <w:lang w:val="en-US" w:eastAsia="zh-CN" w:bidi="ar-SA"/>
              </w:rPr>
            </w:pPr>
            <w:r>
              <w:rPr>
                <w:rFonts w:hint="eastAsia" w:ascii="仿宋_GB2312" w:hAnsi="仿宋_GB2312" w:eastAsia="仿宋_GB2312" w:cs="仿宋_GB2312"/>
                <w:kern w:val="2"/>
                <w:sz w:val="21"/>
                <w:szCs w:val="24"/>
                <w:lang w:val="en-US" w:eastAsia="zh-CN" w:bidi="ar-SA"/>
              </w:rPr>
              <w:t>3</w:t>
            </w:r>
            <w:r>
              <w:rPr>
                <w:rFonts w:hint="default" w:ascii="仿宋_GB2312" w:hAnsi="仿宋_GB2312" w:eastAsia="仿宋_GB2312" w:cs="仿宋_GB2312"/>
                <w:kern w:val="2"/>
                <w:sz w:val="21"/>
                <w:szCs w:val="24"/>
                <w:lang w:val="en-US" w:eastAsia="zh-CN" w:bidi="ar-SA"/>
              </w:rPr>
              <w:t>.</w:t>
            </w:r>
            <w:r>
              <w:rPr>
                <w:rFonts w:hint="eastAsia" w:ascii="仿宋_GB2312" w:hAnsi="仿宋_GB2312" w:eastAsia="仿宋_GB2312" w:cs="仿宋_GB2312"/>
                <w:kern w:val="2"/>
                <w:sz w:val="21"/>
                <w:szCs w:val="24"/>
                <w:lang w:val="en-US" w:eastAsia="zh-CN" w:bidi="ar-SA"/>
              </w:rPr>
              <w:t>综合表现为一般，得3分。</w:t>
            </w:r>
          </w:p>
          <w:p w14:paraId="4462FC7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kern w:val="2"/>
                <w:sz w:val="22"/>
                <w:szCs w:val="28"/>
                <w:lang w:val="en-US" w:eastAsia="zh-CN" w:bidi="ar-SA"/>
              </w:rPr>
            </w:pPr>
            <w:r>
              <w:rPr>
                <w:rFonts w:hint="eastAsia" w:ascii="仿宋_GB2312" w:hAnsi="仿宋_GB2312" w:eastAsia="仿宋_GB2312" w:cs="仿宋_GB2312"/>
                <w:kern w:val="2"/>
                <w:sz w:val="21"/>
                <w:szCs w:val="24"/>
                <w:lang w:val="en-US" w:eastAsia="zh-CN" w:bidi="ar-SA"/>
              </w:rPr>
              <w:t>4.综合表现为差，得0分。</w:t>
            </w:r>
          </w:p>
        </w:tc>
        <w:tc>
          <w:tcPr>
            <w:tcW w:w="668" w:type="dxa"/>
            <w:shd w:val="clear" w:color="auto" w:fill="auto"/>
            <w:vAlign w:val="center"/>
          </w:tcPr>
          <w:p w14:paraId="46CAFE3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5分</w:t>
            </w:r>
          </w:p>
        </w:tc>
        <w:tc>
          <w:tcPr>
            <w:tcW w:w="1337" w:type="dxa"/>
            <w:shd w:val="clear" w:color="auto" w:fill="auto"/>
            <w:vAlign w:val="top"/>
          </w:tcPr>
          <w:p w14:paraId="61FEA5D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仿宋_GB2312" w:hAnsi="仿宋_GB2312" w:eastAsia="仿宋_GB2312" w:cs="仿宋_GB2312"/>
                <w:kern w:val="2"/>
                <w:sz w:val="21"/>
                <w:szCs w:val="24"/>
                <w:lang w:val="en-US" w:eastAsia="zh-CN" w:bidi="ar-SA"/>
              </w:rPr>
            </w:pPr>
          </w:p>
        </w:tc>
      </w:tr>
      <w:tr w14:paraId="05CE9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6" w:hRule="atLeast"/>
        </w:trPr>
        <w:tc>
          <w:tcPr>
            <w:tcW w:w="2651" w:type="dxa"/>
            <w:shd w:val="clear" w:color="auto" w:fill="auto"/>
            <w:vAlign w:val="center"/>
          </w:tcPr>
          <w:p w14:paraId="5EF96D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扣分项（本项不另外计分，检查中发现有不良行为进行扣分）</w:t>
            </w:r>
          </w:p>
        </w:tc>
        <w:tc>
          <w:tcPr>
            <w:tcW w:w="1405" w:type="dxa"/>
            <w:shd w:val="clear" w:color="auto" w:fill="auto"/>
            <w:vAlign w:val="center"/>
          </w:tcPr>
          <w:p w14:paraId="56A4F1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不良行为（每有一项扣1分，最高5分）</w:t>
            </w:r>
          </w:p>
          <w:p w14:paraId="63A7DA3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lang w:val="en-US" w:eastAsia="zh-CN" w:bidi="ar-SA"/>
              </w:rPr>
            </w:pPr>
          </w:p>
        </w:tc>
        <w:tc>
          <w:tcPr>
            <w:tcW w:w="995" w:type="dxa"/>
            <w:shd w:val="clear" w:color="auto" w:fill="auto"/>
            <w:vAlign w:val="center"/>
          </w:tcPr>
          <w:p w14:paraId="0F5BC50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kern w:val="2"/>
                <w:sz w:val="24"/>
                <w:szCs w:val="24"/>
                <w:lang w:val="en-US" w:eastAsia="zh-CN" w:bidi="ar-SA"/>
              </w:rPr>
            </w:pPr>
          </w:p>
        </w:tc>
        <w:tc>
          <w:tcPr>
            <w:tcW w:w="7514" w:type="dxa"/>
            <w:shd w:val="clear" w:color="auto" w:fill="auto"/>
            <w:vAlign w:val="center"/>
          </w:tcPr>
          <w:p w14:paraId="2535D0B8">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1.未按规定格式内容依法依规在指定媒体发布采购公告、中标（成交）公告，信息发布不及时、内容不全或不规范的；</w:t>
            </w:r>
          </w:p>
          <w:p w14:paraId="68468CD9">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2.违反开标厅、评标室等管理规定，影响采购活动正常进行的；</w:t>
            </w:r>
          </w:p>
          <w:p w14:paraId="2EE316EC">
            <w:pPr>
              <w:numPr>
                <w:ilvl w:val="0"/>
                <w:numId w:val="0"/>
              </w:numPr>
              <w:bidi w:val="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3.供应商质疑事项（投标供应商原因除外）成立或部分成立的；</w:t>
            </w:r>
          </w:p>
          <w:p w14:paraId="60319D86">
            <w:pPr>
              <w:numPr>
                <w:ilvl w:val="0"/>
                <w:numId w:val="0"/>
              </w:numPr>
              <w:bidi w:val="0"/>
              <w:rPr>
                <w:rFonts w:hint="eastAsia" w:ascii="仿宋_GB2312" w:hAnsi="仿宋_GB2312" w:eastAsia="仿宋_GB2312" w:cs="仿宋_GB2312"/>
                <w:kern w:val="2"/>
                <w:sz w:val="24"/>
                <w:szCs w:val="32"/>
                <w:lang w:val="en-US" w:eastAsia="zh-CN" w:bidi="ar-SA"/>
              </w:rPr>
            </w:pPr>
            <w:r>
              <w:rPr>
                <w:rFonts w:hint="eastAsia" w:ascii="仿宋_GB2312" w:hAnsi="仿宋_GB2312" w:eastAsia="仿宋_GB2312" w:cs="仿宋_GB2312"/>
                <w:kern w:val="2"/>
                <w:sz w:val="24"/>
                <w:szCs w:val="32"/>
                <w:lang w:val="en-US" w:eastAsia="zh-CN" w:bidi="ar-SA"/>
              </w:rPr>
              <w:t>4.未依法从政府采购评审专家库中抽取评审专家（法律法规规定的特殊情形除外）。</w:t>
            </w:r>
          </w:p>
          <w:p w14:paraId="66ADC04B">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both"/>
              <w:textAlignment w:val="auto"/>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4"/>
                <w:szCs w:val="32"/>
                <w:lang w:val="en-US" w:eastAsia="zh-CN" w:bidi="ar-SA"/>
              </w:rPr>
              <w:t>5.社会代理机构其他违法违规行为，造成不良后果的。</w:t>
            </w:r>
          </w:p>
        </w:tc>
        <w:tc>
          <w:tcPr>
            <w:tcW w:w="668" w:type="dxa"/>
            <w:shd w:val="clear" w:color="auto" w:fill="auto"/>
            <w:vAlign w:val="center"/>
          </w:tcPr>
          <w:p w14:paraId="7E539C43">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kern w:val="2"/>
                <w:sz w:val="21"/>
                <w:szCs w:val="21"/>
                <w:lang w:val="en-US" w:eastAsia="zh-CN" w:bidi="ar-SA"/>
              </w:rPr>
            </w:pPr>
          </w:p>
        </w:tc>
        <w:tc>
          <w:tcPr>
            <w:tcW w:w="1337" w:type="dxa"/>
            <w:shd w:val="clear" w:color="auto" w:fill="auto"/>
            <w:vAlign w:val="top"/>
          </w:tcPr>
          <w:p w14:paraId="6E6925CE">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kern w:val="2"/>
                <w:sz w:val="21"/>
                <w:szCs w:val="21"/>
                <w:lang w:val="en-US" w:eastAsia="zh-CN" w:bidi="ar-SA"/>
              </w:rPr>
            </w:pPr>
          </w:p>
        </w:tc>
      </w:tr>
      <w:tr w14:paraId="61143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2651" w:type="dxa"/>
            <w:shd w:val="clear" w:color="auto" w:fill="auto"/>
            <w:vAlign w:val="center"/>
          </w:tcPr>
          <w:p w14:paraId="3D98FC59">
            <w:pPr>
              <w:pStyle w:val="6"/>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b/>
                <w:bCs/>
                <w:spacing w:val="0"/>
                <w:kern w:val="2"/>
                <w:sz w:val="24"/>
                <w:szCs w:val="24"/>
                <w:lang w:val="en-US" w:eastAsia="zh-CN" w:bidi="ar-SA"/>
              </w:rPr>
            </w:pPr>
            <w:r>
              <w:rPr>
                <w:rFonts w:hint="eastAsia" w:ascii="仿宋_GB2312" w:hAnsi="仿宋_GB2312" w:eastAsia="仿宋_GB2312" w:cs="仿宋_GB2312"/>
                <w:b/>
                <w:bCs/>
                <w:spacing w:val="0"/>
                <w:sz w:val="24"/>
                <w:szCs w:val="24"/>
              </w:rPr>
              <w:t>一级指标</w:t>
            </w:r>
          </w:p>
        </w:tc>
        <w:tc>
          <w:tcPr>
            <w:tcW w:w="1405" w:type="dxa"/>
            <w:shd w:val="clear" w:color="auto" w:fill="auto"/>
            <w:vAlign w:val="center"/>
          </w:tcPr>
          <w:p w14:paraId="1506608D">
            <w:pPr>
              <w:pStyle w:val="6"/>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b/>
                <w:bCs/>
                <w:spacing w:val="0"/>
                <w:kern w:val="2"/>
                <w:sz w:val="24"/>
                <w:szCs w:val="24"/>
                <w:lang w:val="en-US" w:eastAsia="zh-CN" w:bidi="ar-SA"/>
              </w:rPr>
            </w:pPr>
            <w:r>
              <w:rPr>
                <w:rFonts w:hint="eastAsia" w:ascii="仿宋_GB2312" w:hAnsi="仿宋_GB2312" w:eastAsia="仿宋_GB2312" w:cs="仿宋_GB2312"/>
                <w:b/>
                <w:bCs/>
                <w:spacing w:val="0"/>
                <w:sz w:val="24"/>
                <w:szCs w:val="24"/>
              </w:rPr>
              <w:t>二级指标</w:t>
            </w:r>
          </w:p>
        </w:tc>
        <w:tc>
          <w:tcPr>
            <w:tcW w:w="995" w:type="dxa"/>
            <w:shd w:val="clear" w:color="auto" w:fill="auto"/>
            <w:vAlign w:val="center"/>
          </w:tcPr>
          <w:p w14:paraId="6E1E6ADF">
            <w:pPr>
              <w:pStyle w:val="6"/>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rPr>
                <w:rFonts w:hint="default" w:ascii="仿宋_GB2312" w:hAnsi="仿宋_GB2312" w:eastAsia="仿宋_GB2312" w:cs="仿宋_GB2312"/>
                <w:b/>
                <w:bCs/>
                <w:spacing w:val="0"/>
                <w:kern w:val="2"/>
                <w:sz w:val="24"/>
                <w:szCs w:val="24"/>
                <w:lang w:val="en-US" w:eastAsia="zh-CN" w:bidi="ar-SA"/>
              </w:rPr>
            </w:pPr>
            <w:r>
              <w:rPr>
                <w:rFonts w:hint="eastAsia" w:ascii="仿宋_GB2312" w:hAnsi="仿宋_GB2312" w:eastAsia="仿宋_GB2312" w:cs="仿宋_GB2312"/>
                <w:b/>
                <w:bCs/>
                <w:spacing w:val="0"/>
                <w:sz w:val="24"/>
                <w:szCs w:val="24"/>
              </w:rPr>
              <w:t>权重</w:t>
            </w:r>
          </w:p>
        </w:tc>
        <w:tc>
          <w:tcPr>
            <w:tcW w:w="7514" w:type="dxa"/>
            <w:shd w:val="clear" w:color="auto" w:fill="auto"/>
            <w:vAlign w:val="center"/>
          </w:tcPr>
          <w:p w14:paraId="1FF60F96">
            <w:pPr>
              <w:pStyle w:val="6"/>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b/>
                <w:bCs/>
                <w:spacing w:val="0"/>
                <w:kern w:val="2"/>
                <w:sz w:val="24"/>
                <w:szCs w:val="24"/>
                <w:lang w:val="en-US" w:eastAsia="zh-CN" w:bidi="ar-SA"/>
              </w:rPr>
            </w:pPr>
            <w:r>
              <w:rPr>
                <w:rFonts w:hint="eastAsia" w:ascii="仿宋_GB2312" w:hAnsi="仿宋_GB2312" w:eastAsia="仿宋_GB2312" w:cs="仿宋_GB2312"/>
                <w:b/>
                <w:bCs/>
                <w:spacing w:val="0"/>
                <w:sz w:val="24"/>
                <w:szCs w:val="24"/>
              </w:rPr>
              <w:t>评价内容</w:t>
            </w:r>
          </w:p>
        </w:tc>
        <w:tc>
          <w:tcPr>
            <w:tcW w:w="668" w:type="dxa"/>
            <w:shd w:val="clear" w:color="auto" w:fill="auto"/>
            <w:vAlign w:val="center"/>
          </w:tcPr>
          <w:p w14:paraId="17DBDB92">
            <w:pPr>
              <w:pStyle w:val="6"/>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rPr>
                <w:rFonts w:hint="default" w:ascii="仿宋_GB2312" w:hAnsi="仿宋_GB2312" w:eastAsia="仿宋_GB2312" w:cs="仿宋_GB2312"/>
                <w:b/>
                <w:bCs/>
                <w:spacing w:val="0"/>
                <w:kern w:val="2"/>
                <w:sz w:val="24"/>
                <w:szCs w:val="24"/>
                <w:lang w:val="en-US" w:eastAsia="zh-CN" w:bidi="ar-SA"/>
              </w:rPr>
            </w:pPr>
            <w:r>
              <w:rPr>
                <w:rFonts w:hint="eastAsia" w:ascii="仿宋_GB2312" w:hAnsi="仿宋_GB2312" w:eastAsia="仿宋_GB2312" w:cs="仿宋_GB2312"/>
                <w:b/>
                <w:bCs/>
                <w:spacing w:val="0"/>
                <w:sz w:val="24"/>
                <w:szCs w:val="24"/>
              </w:rPr>
              <w:t>分值</w:t>
            </w:r>
          </w:p>
        </w:tc>
        <w:tc>
          <w:tcPr>
            <w:tcW w:w="1337" w:type="dxa"/>
            <w:shd w:val="clear" w:color="auto" w:fill="auto"/>
            <w:vAlign w:val="center"/>
          </w:tcPr>
          <w:p w14:paraId="108042E4">
            <w:pPr>
              <w:pStyle w:val="6"/>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eastAsia" w:ascii="仿宋_GB2312" w:hAnsi="仿宋_GB2312" w:eastAsia="仿宋_GB2312" w:cs="仿宋_GB2312"/>
                <w:b/>
                <w:bCs/>
                <w:spacing w:val="0"/>
                <w:sz w:val="24"/>
                <w:szCs w:val="24"/>
              </w:rPr>
            </w:pPr>
            <w:r>
              <w:rPr>
                <w:rFonts w:hint="eastAsia" w:ascii="仿宋_GB2312" w:hAnsi="仿宋_GB2312" w:eastAsia="仿宋_GB2312" w:cs="仿宋_GB2312"/>
                <w:b/>
                <w:bCs/>
                <w:spacing w:val="0"/>
                <w:sz w:val="24"/>
                <w:szCs w:val="24"/>
              </w:rPr>
              <w:t>财政部门</w:t>
            </w:r>
          </w:p>
          <w:p w14:paraId="37255ACD">
            <w:pPr>
              <w:pStyle w:val="6"/>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b/>
                <w:bCs/>
                <w:spacing w:val="0"/>
                <w:kern w:val="2"/>
                <w:sz w:val="24"/>
                <w:szCs w:val="24"/>
                <w:lang w:val="en-US" w:eastAsia="zh-CN" w:bidi="ar-SA"/>
              </w:rPr>
            </w:pPr>
            <w:r>
              <w:rPr>
                <w:rFonts w:hint="eastAsia" w:ascii="仿宋_GB2312" w:hAnsi="仿宋_GB2312" w:eastAsia="仿宋_GB2312" w:cs="仿宋_GB2312"/>
                <w:b/>
                <w:bCs/>
                <w:spacing w:val="0"/>
                <w:sz w:val="24"/>
                <w:szCs w:val="24"/>
              </w:rPr>
              <w:t>检查</w:t>
            </w:r>
            <w:r>
              <w:rPr>
                <w:rFonts w:hint="eastAsia" w:ascii="仿宋_GB2312" w:hAnsi="仿宋_GB2312" w:eastAsia="仿宋_GB2312" w:cs="仿宋_GB2312"/>
                <w:b/>
                <w:bCs/>
                <w:spacing w:val="0"/>
                <w:sz w:val="24"/>
                <w:szCs w:val="24"/>
                <w:lang w:val="en-US" w:eastAsia="zh-CN"/>
              </w:rPr>
              <w:t>评分</w:t>
            </w:r>
          </w:p>
        </w:tc>
      </w:tr>
      <w:tr w14:paraId="76BE3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2" w:hRule="atLeast"/>
        </w:trPr>
        <w:tc>
          <w:tcPr>
            <w:tcW w:w="2651" w:type="dxa"/>
            <w:shd w:val="clear" w:color="auto" w:fill="auto"/>
            <w:vAlign w:val="center"/>
          </w:tcPr>
          <w:p w14:paraId="026E5DB1">
            <w:pPr>
              <w:keepNext w:val="0"/>
              <w:keepLines w:val="0"/>
              <w:pageBreakBefore w:val="0"/>
              <w:widowControl w:val="0"/>
              <w:kinsoku/>
              <w:wordWrap/>
              <w:overflowPunct/>
              <w:topLinePunct w:val="0"/>
              <w:autoSpaceDE/>
              <w:autoSpaceDN/>
              <w:bidi w:val="0"/>
              <w:adjustRightInd/>
              <w:snapToGrid/>
              <w:spacing w:line="400" w:lineRule="exact"/>
              <w:ind w:left="218" w:leftChars="0" w:hanging="218" w:hangingChars="91"/>
              <w:jc w:val="left"/>
              <w:textAlignment w:val="auto"/>
              <w:rPr>
                <w:rFonts w:hint="default" w:ascii="仿宋_GB2312" w:hAnsi="仿宋_GB2312" w:eastAsia="仿宋_GB2312" w:cs="仿宋_GB2312"/>
                <w:kern w:val="2"/>
                <w:sz w:val="24"/>
                <w:szCs w:val="32"/>
                <w:lang w:val="en-US" w:eastAsia="zh-CN" w:bidi="ar-SA"/>
              </w:rPr>
            </w:pPr>
            <w:r>
              <w:rPr>
                <w:rFonts w:hint="eastAsia" w:ascii="仿宋_GB2312" w:hAnsi="仿宋_GB2312" w:eastAsia="仿宋_GB2312" w:cs="仿宋_GB2312"/>
                <w:kern w:val="2"/>
                <w:sz w:val="24"/>
                <w:szCs w:val="32"/>
                <w:lang w:val="en-US" w:eastAsia="zh-CN" w:bidi="ar-SA"/>
              </w:rPr>
              <w:t>6.加分项（本项不另外计分，有以下良好行为进行加分，最高不超过5分）</w:t>
            </w:r>
          </w:p>
        </w:tc>
        <w:tc>
          <w:tcPr>
            <w:tcW w:w="1405" w:type="dxa"/>
            <w:shd w:val="clear" w:color="auto" w:fill="auto"/>
            <w:vAlign w:val="center"/>
          </w:tcPr>
          <w:p w14:paraId="05FE8D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lang w:val="en-US" w:eastAsia="zh-CN"/>
              </w:rPr>
            </w:pPr>
          </w:p>
        </w:tc>
        <w:tc>
          <w:tcPr>
            <w:tcW w:w="995" w:type="dxa"/>
            <w:shd w:val="clear" w:color="auto" w:fill="auto"/>
            <w:vAlign w:val="center"/>
          </w:tcPr>
          <w:p w14:paraId="6581D2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kern w:val="2"/>
                <w:sz w:val="24"/>
                <w:szCs w:val="24"/>
                <w:lang w:val="en-US" w:eastAsia="zh-CN" w:bidi="ar-SA"/>
              </w:rPr>
            </w:pPr>
          </w:p>
        </w:tc>
        <w:tc>
          <w:tcPr>
            <w:tcW w:w="7514" w:type="dxa"/>
            <w:shd w:val="clear" w:color="auto" w:fill="auto"/>
            <w:vAlign w:val="center"/>
          </w:tcPr>
          <w:p w14:paraId="02011B23">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仿宋_GB2312" w:hAnsi="仿宋_GB2312" w:eastAsia="仿宋_GB2312" w:cs="仿宋_GB2312"/>
                <w:sz w:val="21"/>
                <w:szCs w:val="21"/>
                <w:lang w:val="en-US" w:eastAsia="zh-CN"/>
              </w:rPr>
            </w:pPr>
            <w:r>
              <w:rPr>
                <w:rFonts w:hint="default" w:ascii="仿宋_GB2312" w:hAnsi="仿宋_GB2312" w:eastAsia="仿宋_GB2312" w:cs="仿宋_GB2312"/>
                <w:kern w:val="2"/>
                <w:sz w:val="21"/>
                <w:szCs w:val="21"/>
                <w:lang w:val="en-US" w:eastAsia="zh-CN" w:bidi="ar-SA"/>
              </w:rPr>
              <w:t>1.</w:t>
            </w:r>
            <w:r>
              <w:rPr>
                <w:rFonts w:hint="eastAsia" w:ascii="仿宋_GB2312" w:hAnsi="仿宋_GB2312" w:eastAsia="仿宋_GB2312" w:cs="仿宋_GB2312"/>
                <w:sz w:val="21"/>
                <w:szCs w:val="21"/>
                <w:lang w:val="en-US" w:eastAsia="zh-CN"/>
              </w:rPr>
              <w:t>企业文化及典型经验做法展示推广的得2分；</w:t>
            </w:r>
          </w:p>
          <w:p w14:paraId="1E1F4FB8">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both"/>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kern w:val="2"/>
                <w:sz w:val="21"/>
                <w:szCs w:val="21"/>
                <w:lang w:val="en-US" w:eastAsia="zh-CN" w:bidi="ar-SA"/>
              </w:rPr>
              <w:t>2.</w:t>
            </w:r>
            <w:r>
              <w:rPr>
                <w:rFonts w:hint="eastAsia" w:ascii="仿宋_GB2312" w:hAnsi="仿宋_GB2312" w:eastAsia="仿宋_GB2312" w:cs="仿宋_GB2312"/>
                <w:sz w:val="21"/>
                <w:szCs w:val="21"/>
                <w:lang w:val="en-US" w:eastAsia="zh-CN"/>
              </w:rPr>
              <w:t>企业的先进工作事迹在县级以上新闻媒体有相关报道的得1分；</w:t>
            </w:r>
          </w:p>
          <w:p w14:paraId="4086F979">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both"/>
              <w:textAlignment w:val="auto"/>
              <w:rPr>
                <w:rFonts w:hint="default" w:ascii="仿宋_GB2312" w:hAnsi="仿宋_GB2312" w:eastAsia="仿宋_GB2312" w:cs="仿宋_GB2312"/>
                <w:sz w:val="21"/>
                <w:szCs w:val="21"/>
                <w:lang w:val="en-US" w:eastAsia="zh-CN"/>
              </w:rPr>
            </w:pPr>
            <w:r>
              <w:rPr>
                <w:rFonts w:hint="default" w:ascii="仿宋_GB2312" w:hAnsi="仿宋_GB2312" w:eastAsia="仿宋_GB2312" w:cs="仿宋_GB2312"/>
                <w:kern w:val="2"/>
                <w:sz w:val="21"/>
                <w:szCs w:val="21"/>
                <w:lang w:val="en-US" w:eastAsia="zh-CN" w:bidi="ar-SA"/>
              </w:rPr>
              <w:t>3.</w:t>
            </w:r>
            <w:r>
              <w:rPr>
                <w:rFonts w:hint="eastAsia" w:ascii="仿宋_GB2312" w:hAnsi="仿宋_GB2312" w:eastAsia="仿宋_GB2312" w:cs="仿宋_GB2312"/>
                <w:sz w:val="21"/>
                <w:szCs w:val="21"/>
                <w:lang w:val="en-US" w:eastAsia="zh-CN"/>
              </w:rPr>
              <w:t>企业的先进工作事迹在地市级以上新闻媒体有相关报道的得2分</w:t>
            </w:r>
          </w:p>
        </w:tc>
        <w:tc>
          <w:tcPr>
            <w:tcW w:w="668" w:type="dxa"/>
            <w:shd w:val="clear" w:color="auto" w:fill="auto"/>
            <w:vAlign w:val="center"/>
          </w:tcPr>
          <w:p w14:paraId="59E03F2D">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仿宋_GB2312" w:eastAsia="仿宋_GB2312" w:cs="仿宋_GB2312"/>
                <w:kern w:val="2"/>
                <w:sz w:val="21"/>
                <w:szCs w:val="21"/>
                <w:lang w:val="en-US" w:eastAsia="zh-CN" w:bidi="ar-SA"/>
              </w:rPr>
            </w:pPr>
          </w:p>
        </w:tc>
        <w:tc>
          <w:tcPr>
            <w:tcW w:w="1337" w:type="dxa"/>
            <w:shd w:val="clear" w:color="auto" w:fill="auto"/>
            <w:vAlign w:val="top"/>
          </w:tcPr>
          <w:p w14:paraId="5565489F">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kern w:val="2"/>
                <w:sz w:val="21"/>
                <w:szCs w:val="21"/>
                <w:lang w:val="en-US" w:eastAsia="zh-CN" w:bidi="ar-SA"/>
              </w:rPr>
            </w:pPr>
          </w:p>
        </w:tc>
      </w:tr>
      <w:tr w14:paraId="7E7A0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1" w:hRule="atLeast"/>
        </w:trPr>
        <w:tc>
          <w:tcPr>
            <w:tcW w:w="2651" w:type="dxa"/>
            <w:shd w:val="clear" w:color="auto" w:fill="auto"/>
            <w:vAlign w:val="center"/>
          </w:tcPr>
          <w:p w14:paraId="4C6583E5">
            <w:pPr>
              <w:keepNext w:val="0"/>
              <w:keepLines w:val="0"/>
              <w:pageBreakBefore w:val="0"/>
              <w:widowControl w:val="0"/>
              <w:kinsoku/>
              <w:wordWrap/>
              <w:overflowPunct/>
              <w:topLinePunct w:val="0"/>
              <w:autoSpaceDE/>
              <w:autoSpaceDN/>
              <w:bidi w:val="0"/>
              <w:adjustRightInd/>
              <w:snapToGrid/>
              <w:spacing w:line="400" w:lineRule="exact"/>
              <w:ind w:left="218" w:leftChars="0" w:hanging="218" w:hangingChars="91"/>
              <w:jc w:val="left"/>
              <w:textAlignment w:val="auto"/>
              <w:rPr>
                <w:rFonts w:hint="default" w:ascii="仿宋_GB2312" w:hAnsi="仿宋_GB2312" w:eastAsia="仿宋_GB2312" w:cs="仿宋_GB2312"/>
                <w:kern w:val="2"/>
                <w:sz w:val="24"/>
                <w:szCs w:val="32"/>
                <w:lang w:val="en-US" w:eastAsia="zh-CN" w:bidi="ar-SA"/>
              </w:rPr>
            </w:pPr>
            <w:r>
              <w:rPr>
                <w:rFonts w:hint="eastAsia" w:ascii="仿宋_GB2312" w:hAnsi="仿宋_GB2312" w:eastAsia="仿宋_GB2312" w:cs="仿宋_GB2312"/>
                <w:kern w:val="2"/>
                <w:sz w:val="24"/>
                <w:szCs w:val="32"/>
                <w:lang w:val="en-US" w:eastAsia="zh-CN" w:bidi="ar-SA"/>
              </w:rPr>
              <w:t>7.一票否决项（日常工作中发现有以下不良行为取消“服务之星”评选并按法律法规处理）</w:t>
            </w:r>
          </w:p>
        </w:tc>
        <w:tc>
          <w:tcPr>
            <w:tcW w:w="1405" w:type="dxa"/>
            <w:shd w:val="clear" w:color="auto" w:fill="auto"/>
            <w:vAlign w:val="center"/>
          </w:tcPr>
          <w:p w14:paraId="4BB91CF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lang w:val="en-US" w:eastAsia="zh-CN"/>
              </w:rPr>
            </w:pPr>
          </w:p>
        </w:tc>
        <w:tc>
          <w:tcPr>
            <w:tcW w:w="995" w:type="dxa"/>
            <w:shd w:val="clear" w:color="auto" w:fill="auto"/>
            <w:vAlign w:val="center"/>
          </w:tcPr>
          <w:p w14:paraId="19A16B7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kern w:val="2"/>
                <w:sz w:val="24"/>
                <w:szCs w:val="24"/>
                <w:lang w:val="en-US" w:eastAsia="zh-CN" w:bidi="ar-SA"/>
              </w:rPr>
            </w:pPr>
          </w:p>
        </w:tc>
        <w:tc>
          <w:tcPr>
            <w:tcW w:w="7514" w:type="dxa"/>
            <w:shd w:val="clear" w:color="auto" w:fill="auto"/>
            <w:vAlign w:val="center"/>
          </w:tcPr>
          <w:p w14:paraId="7C83E4E2">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kern w:val="2"/>
                <w:sz w:val="21"/>
                <w:szCs w:val="21"/>
                <w:lang w:val="en-US" w:eastAsia="zh-CN" w:bidi="ar-SA"/>
              </w:rPr>
              <w:t>1.</w:t>
            </w:r>
            <w:r>
              <w:rPr>
                <w:rFonts w:hint="default" w:ascii="仿宋_GB2312" w:hAnsi="仿宋_GB2312" w:eastAsia="仿宋_GB2312" w:cs="仿宋_GB2312"/>
                <w:sz w:val="21"/>
                <w:szCs w:val="21"/>
                <w:lang w:val="en-US" w:eastAsia="zh-CN"/>
              </w:rPr>
              <w:t>社会代理机构向采购人行贿或者采取其他不正当手段谋取非法利益</w:t>
            </w:r>
            <w:r>
              <w:rPr>
                <w:rFonts w:hint="eastAsia" w:ascii="仿宋_GB2312" w:hAnsi="仿宋_GB2312" w:eastAsia="仿宋_GB2312" w:cs="仿宋_GB2312"/>
                <w:sz w:val="21"/>
                <w:szCs w:val="21"/>
                <w:lang w:val="en-US" w:eastAsia="zh-CN"/>
              </w:rPr>
              <w:t>的。</w:t>
            </w:r>
          </w:p>
          <w:p w14:paraId="608FF664">
            <w:pPr>
              <w:numPr>
                <w:ilvl w:val="0"/>
                <w:numId w:val="0"/>
              </w:numPr>
              <w:bidi w:val="0"/>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kern w:val="2"/>
                <w:sz w:val="21"/>
                <w:szCs w:val="24"/>
                <w:lang w:val="en-US" w:eastAsia="zh-CN" w:bidi="ar-SA"/>
              </w:rPr>
              <w:t>2.因质疑处理不当，发生投诉的，投诉处理结果认为社会代理机构或采购人存在过错的。</w:t>
            </w:r>
          </w:p>
          <w:p w14:paraId="5F3240DD">
            <w:pPr>
              <w:numPr>
                <w:ilvl w:val="0"/>
                <w:numId w:val="0"/>
              </w:numPr>
              <w:bidi w:val="0"/>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kern w:val="2"/>
                <w:sz w:val="21"/>
                <w:szCs w:val="24"/>
                <w:lang w:val="en-US" w:eastAsia="zh-CN" w:bidi="ar-SA"/>
              </w:rPr>
              <w:t>3.非法干预采购评审活动。</w:t>
            </w:r>
          </w:p>
          <w:p w14:paraId="572F17D4">
            <w:pPr>
              <w:numPr>
                <w:ilvl w:val="0"/>
                <w:numId w:val="0"/>
              </w:numPr>
              <w:bidi w:val="0"/>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kern w:val="2"/>
                <w:sz w:val="21"/>
                <w:szCs w:val="24"/>
                <w:lang w:val="en-US" w:eastAsia="zh-CN" w:bidi="ar-SA"/>
              </w:rPr>
              <w:t>4.代理机构人员参与由其代理的项目投标或承接同一项目的招标代理和投标代理业务的。</w:t>
            </w:r>
          </w:p>
          <w:p w14:paraId="72546998">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kern w:val="2"/>
                <w:sz w:val="21"/>
                <w:szCs w:val="21"/>
                <w:lang w:val="en-US" w:eastAsia="zh-CN" w:bidi="ar-SA"/>
              </w:rPr>
              <w:t>5</w:t>
            </w:r>
            <w:r>
              <w:rPr>
                <w:rFonts w:hint="default" w:ascii="仿宋_GB2312" w:hAnsi="仿宋_GB2312" w:eastAsia="仿宋_GB2312" w:cs="仿宋_GB2312"/>
                <w:kern w:val="2"/>
                <w:sz w:val="21"/>
                <w:szCs w:val="21"/>
                <w:lang w:val="en-US" w:eastAsia="zh-CN" w:bidi="ar-SA"/>
              </w:rPr>
              <w:t>.</w:t>
            </w:r>
            <w:r>
              <w:rPr>
                <w:rFonts w:hint="eastAsia" w:ascii="仿宋_GB2312" w:hAnsi="仿宋_GB2312" w:eastAsia="仿宋_GB2312" w:cs="仿宋_GB2312"/>
                <w:sz w:val="21"/>
                <w:szCs w:val="21"/>
                <w:lang w:val="en-US" w:eastAsia="zh-CN"/>
              </w:rPr>
              <w:t>与采购人或供应商相互串通，搞假招标、陪标、围标、串标的。</w:t>
            </w:r>
          </w:p>
          <w:p w14:paraId="365E47F9">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kern w:val="2"/>
                <w:sz w:val="21"/>
                <w:szCs w:val="21"/>
                <w:lang w:val="en-US" w:eastAsia="zh-CN" w:bidi="ar-SA"/>
              </w:rPr>
              <w:t>6</w:t>
            </w:r>
            <w:r>
              <w:rPr>
                <w:rFonts w:hint="default" w:ascii="仿宋_GB2312" w:hAnsi="仿宋_GB2312" w:eastAsia="仿宋_GB2312" w:cs="仿宋_GB2312"/>
                <w:kern w:val="2"/>
                <w:sz w:val="21"/>
                <w:szCs w:val="21"/>
                <w:lang w:val="en-US" w:eastAsia="zh-CN" w:bidi="ar-SA"/>
              </w:rPr>
              <w:t>.</w:t>
            </w:r>
            <w:r>
              <w:rPr>
                <w:rFonts w:hint="default" w:ascii="仿宋_GB2312" w:hAnsi="仿宋_GB2312" w:eastAsia="仿宋_GB2312" w:cs="仿宋_GB2312"/>
                <w:sz w:val="21"/>
                <w:szCs w:val="21"/>
                <w:lang w:val="en-US" w:eastAsia="zh-CN"/>
              </w:rPr>
              <w:t>违反政府采购社会代理廉洁承诺的</w:t>
            </w:r>
            <w:r>
              <w:rPr>
                <w:rFonts w:hint="eastAsia" w:ascii="仿宋_GB2312" w:hAnsi="仿宋_GB2312" w:eastAsia="仿宋_GB2312" w:cs="仿宋_GB2312"/>
                <w:sz w:val="21"/>
                <w:szCs w:val="21"/>
                <w:lang w:val="en-US" w:eastAsia="zh-CN"/>
              </w:rPr>
              <w:t>。</w:t>
            </w:r>
          </w:p>
          <w:p w14:paraId="3FFD2026">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kern w:val="2"/>
                <w:sz w:val="21"/>
                <w:szCs w:val="21"/>
                <w:lang w:val="en-US" w:eastAsia="zh-CN" w:bidi="ar-SA"/>
              </w:rPr>
              <w:t>7</w:t>
            </w:r>
            <w:r>
              <w:rPr>
                <w:rFonts w:hint="default" w:ascii="仿宋_GB2312" w:hAnsi="仿宋_GB2312" w:eastAsia="仿宋_GB2312" w:cs="仿宋_GB2312"/>
                <w:kern w:val="2"/>
                <w:sz w:val="21"/>
                <w:szCs w:val="21"/>
                <w:lang w:val="en-US" w:eastAsia="zh-CN" w:bidi="ar-SA"/>
              </w:rPr>
              <w:t>.</w:t>
            </w:r>
            <w:r>
              <w:rPr>
                <w:rFonts w:hint="default" w:ascii="仿宋_GB2312" w:hAnsi="仿宋_GB2312" w:eastAsia="仿宋_GB2312" w:cs="仿宋_GB2312"/>
                <w:sz w:val="21"/>
                <w:szCs w:val="21"/>
                <w:lang w:val="en-US" w:eastAsia="zh-CN"/>
              </w:rPr>
              <w:t>社会代理机构其它严重违法违规行为，造成严重后果，并对社会造成不良影响的</w:t>
            </w:r>
          </w:p>
        </w:tc>
        <w:tc>
          <w:tcPr>
            <w:tcW w:w="668" w:type="dxa"/>
            <w:shd w:val="clear" w:color="auto" w:fill="auto"/>
            <w:vAlign w:val="center"/>
          </w:tcPr>
          <w:p w14:paraId="6B01B84F">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仿宋_GB2312" w:eastAsia="仿宋_GB2312" w:cs="仿宋_GB2312"/>
                <w:kern w:val="2"/>
                <w:sz w:val="21"/>
                <w:szCs w:val="21"/>
                <w:lang w:val="en-US" w:eastAsia="zh-CN" w:bidi="ar-SA"/>
              </w:rPr>
            </w:pPr>
          </w:p>
        </w:tc>
        <w:tc>
          <w:tcPr>
            <w:tcW w:w="1337" w:type="dxa"/>
            <w:shd w:val="clear" w:color="auto" w:fill="auto"/>
            <w:vAlign w:val="top"/>
          </w:tcPr>
          <w:p w14:paraId="533E97D9">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kern w:val="2"/>
                <w:sz w:val="21"/>
                <w:szCs w:val="21"/>
                <w:lang w:val="en-US" w:eastAsia="zh-CN" w:bidi="ar-SA"/>
              </w:rPr>
            </w:pPr>
          </w:p>
        </w:tc>
      </w:tr>
    </w:tbl>
    <w:p w14:paraId="622EF39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方正小标宋简体" w:hAnsi="方正小标宋简体" w:eastAsia="方正小标宋简体" w:cs="方正小标宋简体"/>
          <w:sz w:val="52"/>
          <w:szCs w:val="52"/>
          <w:lang w:val="en-US" w:eastAsia="zh-CN"/>
        </w:rPr>
      </w:pPr>
    </w:p>
    <w:sectPr>
      <w:pgSz w:w="16838" w:h="11906" w:orient="landscape"/>
      <w:pgMar w:top="1009" w:right="1145" w:bottom="1009" w:left="1593" w:header="851" w:footer="1077" w:gutter="0"/>
      <w:cols w:space="0" w:num="1"/>
      <w:rtlGutter w:val="0"/>
      <w:docGrid w:type="lines" w:linePitch="29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44D5F7"/>
    <w:multiLevelType w:val="singleLevel"/>
    <w:tmpl w:val="E644D5F7"/>
    <w:lvl w:ilvl="0" w:tentative="0">
      <w:start w:val="1"/>
      <w:numFmt w:val="decimal"/>
      <w:pStyle w:val="2"/>
      <w:lvlText w:val="%1."/>
      <w:lvlJc w:val="left"/>
      <w:pPr>
        <w:ind w:left="425" w:hanging="425"/>
      </w:pPr>
      <w:rPr>
        <w:rFonts w:hint="default"/>
      </w:rPr>
    </w:lvl>
  </w:abstractNum>
  <w:abstractNum w:abstractNumId="1">
    <w:nsid w:val="258F6961"/>
    <w:multiLevelType w:val="singleLevel"/>
    <w:tmpl w:val="258F6961"/>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mYThiNDhmNzNmMTNhZWVkZGY4MWNjMTYxOTM4ZmUifQ=="/>
  </w:docVars>
  <w:rsids>
    <w:rsidRoot w:val="7A1A3A20"/>
    <w:rsid w:val="01EC0334"/>
    <w:rsid w:val="108F3614"/>
    <w:rsid w:val="1272218F"/>
    <w:rsid w:val="12E52961"/>
    <w:rsid w:val="134A310C"/>
    <w:rsid w:val="13577226"/>
    <w:rsid w:val="16DE0470"/>
    <w:rsid w:val="1A926AB9"/>
    <w:rsid w:val="21E11167"/>
    <w:rsid w:val="24AE04EF"/>
    <w:rsid w:val="25CC10CB"/>
    <w:rsid w:val="26782A14"/>
    <w:rsid w:val="2B407B5F"/>
    <w:rsid w:val="2FA21EAE"/>
    <w:rsid w:val="309A4933"/>
    <w:rsid w:val="3757357E"/>
    <w:rsid w:val="3B1F0857"/>
    <w:rsid w:val="3E163F13"/>
    <w:rsid w:val="489F6507"/>
    <w:rsid w:val="4EC44190"/>
    <w:rsid w:val="4FE240B4"/>
    <w:rsid w:val="50F56491"/>
    <w:rsid w:val="51DC2142"/>
    <w:rsid w:val="54D034D5"/>
    <w:rsid w:val="57707BEF"/>
    <w:rsid w:val="5CDA5F34"/>
    <w:rsid w:val="621A2B05"/>
    <w:rsid w:val="64B452BD"/>
    <w:rsid w:val="66CF4630"/>
    <w:rsid w:val="67CB3049"/>
    <w:rsid w:val="68BC196A"/>
    <w:rsid w:val="6A1D5396"/>
    <w:rsid w:val="6D254FA9"/>
    <w:rsid w:val="751515EF"/>
    <w:rsid w:val="754B4E9A"/>
    <w:rsid w:val="75BC5303"/>
    <w:rsid w:val="7A1A3A20"/>
    <w:rsid w:val="7F1C3D0F"/>
    <w:rsid w:val="7F4660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keepNext/>
      <w:keepLines/>
      <w:numPr>
        <w:ilvl w:val="0"/>
        <w:numId w:val="1"/>
      </w:numPr>
      <w:spacing w:before="260" w:beforeLines="0" w:beforeAutospacing="0" w:after="260" w:afterLines="0" w:afterAutospacing="0" w:line="413" w:lineRule="auto"/>
      <w:outlineLvl w:val="1"/>
    </w:pPr>
    <w:rPr>
      <w:rFonts w:ascii="Arial" w:hAnsi="Arial" w:eastAsia="黑体"/>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5"/>
      <w:szCs w:val="25"/>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4645</Words>
  <Characters>4860</Characters>
  <Lines>0</Lines>
  <Paragraphs>0</Paragraphs>
  <TotalTime>64</TotalTime>
  <ScaleCrop>false</ScaleCrop>
  <LinksUpToDate>false</LinksUpToDate>
  <CharactersWithSpaces>4871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2024-09-11T03:21:00Z</dcterms:created>
  <dc:creator>Lenovo</dc:creator>
  <cp:lastModifiedBy>Lenovo</cp:lastModifiedBy>
  <cp:lastPrinted>2024-09-26T00:55:00Z</cp:lastPrinted>
  <dcterms:modified xsi:type="dcterms:W3CDTF">2024-10-10T08:28:57Z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B7D4A72C4EDC44AEBE45F6E9CD8BA4EA_11</vt:lpwstr>
  </property>
</Properties>
</file>